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1"/>
        <w:jc w:val="center"/>
        <w:rPr>
          <w:rFonts w:ascii="微软雅黑" w:eastAsia="微软雅黑" w:hAnsi="微软雅黑" w:cs="微软雅黑"/>
        </w:rPr>
      </w:pPr>
    </w:p>
    <w:p>
      <w:pPr>
        <w:pStyle w:val="1"/>
        <w:jc w:val="both"/>
        <w:rPr>
          <w:rFonts w:ascii="微软雅黑" w:eastAsia="微软雅黑" w:hAnsi="微软雅黑" w:cs="微软雅黑"/>
        </w:rPr>
      </w:pPr>
    </w:p>
    <w:p>
      <w:pPr>
        <w:pStyle w:val="1"/>
        <w:jc w:val="center"/>
        <w:rPr>
          <w:rFonts w:ascii="微软雅黑" w:eastAsia="微软雅黑" w:hAnsi="微软雅黑" w:cs="微软雅黑"/>
          <w:sz w:val="48"/>
          <w:szCs w:val="48"/>
        </w:rPr>
      </w:pPr>
      <w:r>
        <w:rPr>
          <w:rFonts w:ascii="微软雅黑" w:eastAsia="微软雅黑" w:hAnsi="微软雅黑" w:cs="微软雅黑" w:hint="eastAsia"/>
          <w:sz w:val="48"/>
          <w:szCs w:val="48"/>
        </w:rPr>
        <w:t>专业发展服务平台</w:t>
      </w:r>
    </w:p>
    <w:p>
      <w:pPr>
        <w:pStyle w:val="1"/>
        <w:jc w:val="center"/>
        <w:rPr>
          <w:rFonts w:ascii="微软雅黑" w:eastAsia="微软雅黑" w:hAnsi="微软雅黑" w:cs="微软雅黑"/>
          <w:sz w:val="48"/>
          <w:szCs w:val="48"/>
        </w:rPr>
      </w:pPr>
      <w:r>
        <w:rPr>
          <w:rFonts w:ascii="微软雅黑" w:eastAsia="微软雅黑" w:hAnsi="微软雅黑" w:cs="微软雅黑" w:hint="eastAsia"/>
          <w:sz w:val="48"/>
          <w:szCs w:val="48"/>
        </w:rPr>
        <w:t>操作手册</w:t>
      </w:r>
    </w:p>
    <w:p>
      <w:pPr>
        <w:pStyle w:val="Style13"/>
        <w:rPr>
          <w:rFonts w:ascii="微软雅黑" w:eastAsia="微软雅黑" w:hAnsi="微软雅黑" w:cs="微软雅黑"/>
          <w:b/>
          <w:bCs/>
        </w:rPr>
      </w:pPr>
    </w:p>
    <w:p>
      <w:pPr>
        <w:pStyle w:val="Style13"/>
        <w:rPr>
          <w:rFonts w:ascii="微软雅黑" w:eastAsia="微软雅黑" w:hAnsi="微软雅黑" w:cs="微软雅黑"/>
          <w:b/>
          <w:bCs/>
        </w:rPr>
      </w:pPr>
    </w:p>
    <w:p>
      <w:pPr>
        <w:pStyle w:val="Style13"/>
        <w:rPr>
          <w:rFonts w:ascii="微软雅黑" w:eastAsia="微软雅黑" w:hAnsi="微软雅黑" w:cs="微软雅黑"/>
          <w:b/>
          <w:bCs/>
        </w:rPr>
      </w:pPr>
    </w:p>
    <w:p>
      <w:pPr>
        <w:pStyle w:val="Style13"/>
        <w:rPr>
          <w:rFonts w:ascii="微软雅黑" w:eastAsia="微软雅黑" w:hAnsi="微软雅黑" w:cs="微软雅黑"/>
          <w:b/>
          <w:bCs/>
        </w:rPr>
      </w:pPr>
    </w:p>
    <w:p>
      <w:pPr>
        <w:pStyle w:val="Style13"/>
        <w:rPr>
          <w:rFonts w:ascii="微软雅黑" w:eastAsia="微软雅黑" w:hAnsi="微软雅黑" w:cs="微软雅黑"/>
          <w:b/>
          <w:bCs/>
        </w:rPr>
      </w:pPr>
    </w:p>
    <w:p>
      <w:pPr>
        <w:pStyle w:val="Style13"/>
        <w:rPr>
          <w:rFonts w:ascii="微软雅黑" w:eastAsia="微软雅黑" w:hAnsi="微软雅黑" w:cs="微软雅黑"/>
          <w:b/>
          <w:bCs/>
        </w:rPr>
      </w:pPr>
    </w:p>
    <w:p>
      <w:pPr>
        <w:pStyle w:val="Style13"/>
        <w:rPr>
          <w:rFonts w:ascii="微软雅黑" w:eastAsia="微软雅黑" w:hAnsi="微软雅黑" w:cs="微软雅黑"/>
          <w:b/>
          <w:bCs/>
        </w:rPr>
      </w:pPr>
    </w:p>
    <w:p>
      <w:pPr>
        <w:pStyle w:val="Style13"/>
        <w:rPr>
          <w:rFonts w:ascii="微软雅黑" w:eastAsia="微软雅黑" w:hAnsi="微软雅黑" w:cs="微软雅黑"/>
          <w:b/>
          <w:bCs/>
        </w:rPr>
      </w:pPr>
    </w:p>
    <w:p>
      <w:pPr>
        <w:pStyle w:val="Style13"/>
        <w:rPr>
          <w:rFonts w:ascii="微软雅黑" w:eastAsia="微软雅黑" w:hAnsi="微软雅黑" w:cs="微软雅黑"/>
          <w:b/>
          <w:bCs/>
        </w:rPr>
      </w:pPr>
    </w:p>
    <w:p>
      <w:pPr>
        <w:pStyle w:val="Style13"/>
        <w:rPr>
          <w:rFonts w:ascii="微软雅黑" w:eastAsia="微软雅黑" w:hAnsi="微软雅黑" w:cs="微软雅黑"/>
          <w:b/>
          <w:bCs/>
        </w:rPr>
      </w:pPr>
    </w:p>
    <w:p>
      <w:pPr>
        <w:pStyle w:val="Style13"/>
        <w:rPr>
          <w:rFonts w:ascii="微软雅黑" w:eastAsia="微软雅黑" w:hAnsi="微软雅黑" w:cs="微软雅黑"/>
          <w:b/>
          <w:bCs/>
        </w:rPr>
      </w:pPr>
    </w:p>
    <w:p>
      <w:pPr>
        <w:pStyle w:val="Style13"/>
        <w:jc w:val="center"/>
        <w:rPr>
          <w:rFonts w:ascii="微软雅黑" w:eastAsia="微软雅黑" w:hAnsi="微软雅黑" w:cs="微软雅黑"/>
          <w:b/>
          <w:bCs/>
        </w:rPr>
      </w:pPr>
    </w:p>
    <w:p>
      <w:pPr>
        <w:pStyle w:val="Style13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文档版本</w:t>
      </w:r>
      <w:r>
        <w:rPr>
          <w:rFonts w:ascii="微软雅黑" w:eastAsia="微软雅黑" w:hAnsi="微软雅黑" w:cs="微软雅黑" w:hint="eastAsia"/>
        </w:rPr>
        <w:t>：V1.0</w:t>
      </w:r>
    </w:p>
    <w:p>
      <w:pPr>
        <w:pStyle w:val="Style13"/>
        <w:rPr>
          <w:rFonts w:ascii="微软雅黑" w:eastAsia="微软雅黑" w:hAnsi="微软雅黑" w:cs="微软雅黑"/>
          <w:b/>
          <w:bCs/>
        </w:rPr>
      </w:pPr>
    </w:p>
    <w:p>
      <w:pPr>
        <w:pStyle w:val="Style13"/>
        <w:rPr>
          <w:rFonts w:ascii="微软雅黑" w:eastAsia="微软雅黑" w:hAnsi="微软雅黑" w:cs="微软雅黑"/>
          <w:b/>
          <w:bCs/>
        </w:rPr>
      </w:pPr>
    </w:p>
    <w:p>
      <w:pPr>
        <w:pStyle w:val="Style13"/>
        <w:rPr>
          <w:rFonts w:ascii="微软雅黑" w:eastAsia="微软雅黑" w:hAnsi="微软雅黑" w:cs="微软雅黑"/>
          <w:b/>
          <w:bCs/>
        </w:rPr>
      </w:pPr>
    </w:p>
    <w:p>
      <w:pPr>
        <w:pStyle w:val="Style13"/>
        <w:rPr>
          <w:rFonts w:ascii="微软雅黑" w:eastAsia="微软雅黑" w:hAnsi="微软雅黑" w:cs="微软雅黑"/>
          <w:b/>
          <w:bCs/>
        </w:rPr>
      </w:pPr>
    </w:p>
    <w:p>
      <w:pPr>
        <w:pStyle w:val="2"/>
        <w:rPr>
          <w:rFonts w:ascii="微软雅黑" w:eastAsia="微软雅黑" w:hAnsi="微软雅黑" w:cs="微软雅黑"/>
        </w:rPr>
      </w:pPr>
      <w:bookmarkStart w:id="0" w:name="_GoBack"/>
      <w:bookmarkEnd w:id="0"/>
      <w:r>
        <w:rPr>
          <w:rFonts w:ascii="微软雅黑" w:eastAsia="微软雅黑" w:hAnsi="微软雅黑" w:cs="微软雅黑" w:hint="eastAsia"/>
        </w:rPr>
        <w:t>第一章 系统概述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1.1 文档目的与使用说明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1.1.1 文档的目的</w:t>
      </w:r>
    </w:p>
    <w:p>
      <w:pPr>
        <w:widowControl/>
        <w:ind w:firstLineChars="200" w:firstLine="440"/>
        <w:jc w:val="left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 w:hint="eastAsia"/>
          <w:sz w:val="22"/>
        </w:rPr>
        <w:t>本操作手册旨在系统性地记录专业发展服务平台的操作流程、功能说明及维护要点，为使用者提供清晰规范的作业指导。通过标准化操作步骤的说明，帮助用户快速掌握核心功能的使用方法，降低操作失误风险，提升工作效率与系统稳定性。本手册同时适用于新员工培训及日常操作参考，作为技术支持与知识管理的重要依据。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1.1.2使用说明</w:t>
      </w:r>
    </w:p>
    <w:p>
      <w:pPr>
        <w:widowControl/>
        <w:ind w:firstLineChars="200" w:firstLine="440"/>
        <w:jc w:val="left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 w:hint="eastAsia"/>
          <w:sz w:val="22"/>
        </w:rPr>
        <w:t>适用对象：本手册面向所有需要使用[产品/系统名称]的操作人员、维护人员及管理人员。</w:t>
      </w:r>
    </w:p>
    <w:p>
      <w:pPr>
        <w:widowControl/>
        <w:ind w:firstLineChars="200" w:firstLine="440"/>
        <w:jc w:val="left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 w:hint="eastAsia"/>
          <w:sz w:val="22"/>
        </w:rPr>
        <w:t>阅读建议：首次使用者请按章节顺序通读「基础操作」部分，熟悉操作流程后再参考「核心功能」章节；日常使用时可通过目录快速定位所需内容。</w:t>
      </w:r>
    </w:p>
    <w:p>
      <w:pPr>
        <w:widowControl/>
        <w:ind w:firstLineChars="200" w:firstLine="440"/>
        <w:jc w:val="left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 w:hint="eastAsia"/>
          <w:sz w:val="22"/>
        </w:rPr>
        <w:t>版本管理：本文档将根据系统更新情况持续修订，请通过页脚版本号确认是否使用最新版本（当前版本：V1.0）。如需获取更新文档，请联系平台开发部。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1.2 系统定位与核心价值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1.2.1系统定位</w:t>
      </w:r>
    </w:p>
    <w:p>
      <w:pPr>
        <w:widowControl/>
        <w:ind w:firstLineChars="200" w:firstLine="440"/>
        <w:jc w:val="left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 w:hint="eastAsia"/>
          <w:sz w:val="22"/>
        </w:rPr>
        <w:t>“专业发展服务平台”是面向职业教育领域的 ​</w:t>
      </w:r>
      <w:proofErr w:type="gramStart"/>
      <w:r>
        <w:rPr>
          <w:rFonts w:ascii="仿宋" w:eastAsia="仿宋" w:hAnsi="仿宋" w:cs="仿宋" w:hint="eastAsia"/>
          <w:sz w:val="22"/>
        </w:rPr>
        <w:t>数据驱动型产教</w:t>
      </w:r>
      <w:proofErr w:type="gramEnd"/>
      <w:r>
        <w:rPr>
          <w:rFonts w:ascii="仿宋" w:eastAsia="仿宋" w:hAnsi="仿宋" w:cs="仿宋" w:hint="eastAsia"/>
          <w:sz w:val="22"/>
        </w:rPr>
        <w:t>融合战略基座，以 “精准导航、动态适配、智能赋能”为核心定位，构建覆盖“产业需求感知→人才培养优化→人岗精准匹配”的全链条闭环系统。平台深度融合 AI、大数据、知识图谱​ 等前沿技术，打造职业教育与区域经济协同发展的“数字中枢”，推动院校从传统经验式育人向“数据驱动、产教共生”的新范式转型。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1.2.2核心价值</w:t>
      </w:r>
    </w:p>
    <w:p>
      <w:pPr>
        <w:widowControl/>
        <w:numPr>
          <w:ilvl w:val="0"/>
          <w:numId w:val="1"/>
        </w:numPr>
        <w:ind w:firstLine="500"/>
        <w:jc w:val="left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 w:hint="eastAsia"/>
          <w:sz w:val="22"/>
        </w:rPr>
        <w:t>破解“人才供需错配”困局</w:t>
      </w:r>
      <w:r>
        <w:rPr>
          <w:rFonts w:ascii="仿宋" w:eastAsia="仿宋" w:hAnsi="仿宋" w:cs="仿宋"/>
          <w:sz w:val="22"/>
        </w:rPr>
        <w:t>​</w:t>
      </w:r>
    </w:p>
    <w:p>
      <w:pPr>
        <w:widowControl/>
        <w:ind w:firstLineChars="200" w:firstLine="440"/>
        <w:jc w:val="left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</w:rPr>
        <w:t>需求精准感知：通过千万级实时岗位数据与AI语义解析，毫秒级捕捉区域产业技能需求变化，解决传统专业设置滞后（平均16个月）、课程脱离产业的问题。</w:t>
      </w:r>
    </w:p>
    <w:p>
      <w:pPr>
        <w:widowControl/>
        <w:ind w:firstLineChars="200" w:firstLine="440"/>
        <w:jc w:val="left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</w:rPr>
        <w:t>动态决策支撑：基于技能热力图与趋势预测（GNN技术），为专业调整、课程迭代提供前瞻性数据依据，实现“专业群锚定产业、课程同步技术”。</w:t>
      </w:r>
    </w:p>
    <w:p>
      <w:pPr>
        <w:widowControl/>
        <w:ind w:firstLine="500"/>
        <w:jc w:val="left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 w:hint="eastAsia"/>
          <w:sz w:val="22"/>
        </w:rPr>
        <w:t>（2）重构“人才培养精准度”​</w:t>
      </w:r>
      <w:r>
        <w:rPr>
          <w:rFonts w:ascii="仿宋" w:eastAsia="仿宋" w:hAnsi="仿宋" w:cs="仿宋"/>
          <w:sz w:val="22"/>
        </w:rPr>
        <w:t>​</w:t>
      </w:r>
    </w:p>
    <w:p>
      <w:pPr>
        <w:widowControl/>
        <w:ind w:firstLine="500"/>
        <w:jc w:val="left"/>
        <w:rPr>
          <w:rFonts w:ascii="仿宋" w:eastAsia="仿宋" w:hAnsi="仿宋" w:cs="仿宋"/>
          <w:sz w:val="22"/>
        </w:rPr>
      </w:pPr>
      <w:proofErr w:type="gramStart"/>
      <w:r>
        <w:rPr>
          <w:rFonts w:ascii="仿宋" w:eastAsia="仿宋" w:hAnsi="仿宋" w:cs="仿宋"/>
          <w:sz w:val="22"/>
        </w:rPr>
        <w:t>课岗直通</w:t>
      </w:r>
      <w:proofErr w:type="gramEnd"/>
      <w:r>
        <w:rPr>
          <w:rFonts w:ascii="仿宋" w:eastAsia="仿宋" w:hAnsi="仿宋" w:cs="仿宋"/>
          <w:sz w:val="22"/>
        </w:rPr>
        <w:t>闭环：通过课程-技能匹配度量化分析（LDA模型）与AI优化建议，将课程更新周期压缩至72小时内，确保教学内容与岗位技能</w:t>
      </w:r>
      <w:proofErr w:type="gramStart"/>
      <w:r>
        <w:rPr>
          <w:rFonts w:ascii="仿宋" w:eastAsia="仿宋" w:hAnsi="仿宋" w:cs="仿宋"/>
          <w:sz w:val="22"/>
        </w:rPr>
        <w:t>零时差</w:t>
      </w:r>
      <w:proofErr w:type="gramEnd"/>
      <w:r>
        <w:rPr>
          <w:rFonts w:ascii="仿宋" w:eastAsia="仿宋" w:hAnsi="仿宋" w:cs="仿宋"/>
          <w:sz w:val="22"/>
        </w:rPr>
        <w:t>同步。</w:t>
      </w:r>
    </w:p>
    <w:p>
      <w:pPr>
        <w:widowControl/>
        <w:ind w:firstLine="500"/>
        <w:jc w:val="left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</w:rPr>
        <w:t>三维能力画像：融合知识、技能、职业素养数据，为学生提供个性化提升路径，赋能分层教学与精准就业推荐（协同过滤+知识图谱）。</w:t>
      </w:r>
    </w:p>
    <w:p>
      <w:pPr>
        <w:widowControl/>
        <w:ind w:firstLine="500"/>
        <w:jc w:val="left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 w:hint="eastAsia"/>
          <w:sz w:val="22"/>
        </w:rPr>
        <w:t>（3）</w:t>
      </w:r>
      <w:r>
        <w:rPr>
          <w:rFonts w:ascii="仿宋" w:eastAsia="仿宋" w:hAnsi="仿宋" w:cs="仿宋"/>
          <w:sz w:val="22"/>
        </w:rPr>
        <w:t>提升“服务区域经济”效能​</w:t>
      </w:r>
    </w:p>
    <w:p>
      <w:pPr>
        <w:widowControl/>
        <w:ind w:firstLine="500"/>
        <w:jc w:val="left"/>
        <w:rPr>
          <w:rFonts w:ascii="微软雅黑" w:eastAsia="微软雅黑" w:hAnsi="微软雅黑" w:cs="微软雅黑"/>
          <w:sz w:val="22"/>
        </w:rPr>
      </w:pPr>
      <w:r>
        <w:rPr>
          <w:rFonts w:ascii="仿宋" w:eastAsia="仿宋" w:hAnsi="仿宋" w:cs="仿宋"/>
          <w:sz w:val="22"/>
        </w:rPr>
        <w:t>产业服务可视化：生成区域人才供需报告、技术演化趋势分析，强化院校在区域经济发展中的话语权与显示度。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1.3 系统功能模块总</w:t>
      </w:r>
      <w:proofErr w:type="gramStart"/>
      <w:r>
        <w:rPr>
          <w:rFonts w:ascii="微软雅黑" w:eastAsia="微软雅黑" w:hAnsi="微软雅黑" w:cs="微软雅黑" w:hint="eastAsia"/>
        </w:rPr>
        <w:t>览</w:t>
      </w:r>
      <w:proofErr w:type="gramEnd"/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723890" cy="7323455"/>
            <wp:effectExtent l="0" t="0" r="10160" b="10795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732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1.4 术语与缩略语解释</w:t>
      </w:r>
    </w:p>
    <w:p>
      <w:pPr>
        <w:pStyle w:val="Style13"/>
        <w:ind w:firstLine="50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暂无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1.5 适用环境说明（软件 / 网络要求）</w:t>
      </w:r>
    </w:p>
    <w:p>
      <w:pPr>
        <w:widowControl/>
        <w:ind w:firstLine="500"/>
        <w:jc w:val="left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</w:rPr>
        <w:lastRenderedPageBreak/>
        <w:t>客户端：Windows 10/11、</w:t>
      </w:r>
      <w:proofErr w:type="spellStart"/>
      <w:r>
        <w:rPr>
          <w:rFonts w:ascii="仿宋" w:eastAsia="仿宋" w:hAnsi="仿宋" w:cs="仿宋"/>
          <w:sz w:val="22"/>
        </w:rPr>
        <w:t>macOS</w:t>
      </w:r>
      <w:proofErr w:type="spellEnd"/>
      <w:r>
        <w:rPr>
          <w:rFonts w:ascii="仿宋" w:eastAsia="仿宋" w:hAnsi="仿宋" w:cs="仿宋"/>
          <w:sz w:val="22"/>
        </w:rPr>
        <w:t xml:space="preserve"> 10.15+（支持主流浏览器访问）</w:t>
      </w:r>
    </w:p>
    <w:p>
      <w:pPr>
        <w:widowControl/>
        <w:ind w:firstLine="500"/>
        <w:jc w:val="left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 w:hint="eastAsia"/>
          <w:sz w:val="22"/>
        </w:rPr>
        <w:t>网络：</w:t>
      </w:r>
      <w:r>
        <w:rPr>
          <w:rFonts w:ascii="仿宋" w:eastAsia="仿宋" w:hAnsi="仿宋" w:cs="仿宋"/>
          <w:sz w:val="22"/>
        </w:rPr>
        <w:t>10Mbps+稳定网络（确保</w:t>
      </w:r>
      <w:proofErr w:type="gramStart"/>
      <w:r>
        <w:rPr>
          <w:rFonts w:ascii="仿宋" w:eastAsia="仿宋" w:hAnsi="仿宋" w:cs="仿宋"/>
          <w:sz w:val="22"/>
        </w:rPr>
        <w:t>流畅访问</w:t>
      </w:r>
      <w:proofErr w:type="gramEnd"/>
      <w:r>
        <w:rPr>
          <w:rFonts w:ascii="仿宋" w:eastAsia="仿宋" w:hAnsi="仿宋" w:cs="仿宋"/>
          <w:sz w:val="22"/>
        </w:rPr>
        <w:t>平台功能）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1.6 平台访问与账号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1.6.1 平台登录网址</w:t>
      </w:r>
    </w:p>
    <w:p>
      <w:pPr>
        <w:pStyle w:val="Style13"/>
        <w:spacing w:after="80"/>
        <w:ind w:leftChars="-50" w:left="-105" w:rightChars="-1350" w:right="-2835" w:firstLineChars="200" w:firstLine="44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https://se.xinyingzao.cn/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1.6.2 账号分配与初始密码设置</w:t>
      </w:r>
    </w:p>
    <w:p>
      <w:pPr>
        <w:pStyle w:val="Style13"/>
        <w:spacing w:after="80"/>
        <w:ind w:leftChars="-50" w:left="-105" w:rightChars="-1350" w:right="-2835" w:firstLineChars="200" w:firstLine="44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联系平台开发部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1.6.3 账号激活与首次登录指引</w:t>
      </w:r>
    </w:p>
    <w:p>
      <w:pPr>
        <w:pStyle w:val="Style13"/>
        <w:spacing w:after="80"/>
        <w:ind w:leftChars="-50" w:left="-105" w:rightChars="-1350" w:right="-2835" w:firstLineChars="200" w:firstLine="440"/>
        <w:rPr>
          <w:rFonts w:ascii="微软雅黑" w:eastAsia="微软雅黑" w:hAnsi="微软雅黑" w:cs="微软雅黑"/>
        </w:rPr>
      </w:pPr>
      <w:r>
        <w:rPr>
          <w:rFonts w:ascii="仿宋" w:eastAsia="仿宋" w:hAnsi="仿宋" w:cs="仿宋" w:hint="eastAsia"/>
        </w:rPr>
        <w:t>联系平台开发部</w:t>
      </w:r>
    </w:p>
    <w:p>
      <w:pPr>
        <w:pStyle w:val="2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第二章 系统基础操作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2.1 账号管理操作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2.1.1 账号登录（账号密码登录 / 手机快捷登录 ）</w:t>
      </w:r>
    </w:p>
    <w:p>
      <w:pPr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</w:rPr>
        <w:t>方式</w:t>
      </w:r>
      <w:proofErr w:type="gramStart"/>
      <w:r>
        <w:rPr>
          <w:rFonts w:ascii="仿宋" w:eastAsia="仿宋" w:hAnsi="仿宋" w:cs="仿宋"/>
          <w:sz w:val="22"/>
        </w:rPr>
        <w:t>一</w:t>
      </w:r>
      <w:proofErr w:type="gramEnd"/>
      <w:r>
        <w:rPr>
          <w:rFonts w:ascii="仿宋" w:eastAsia="仿宋" w:hAnsi="仿宋" w:cs="仿宋"/>
          <w:sz w:val="22"/>
        </w:rPr>
        <w:t>：账号密码登录​</w:t>
      </w:r>
      <w:r>
        <w:rPr>
          <w:rFonts w:ascii="仿宋" w:eastAsia="仿宋" w:hAnsi="仿宋" w:cs="仿宋"/>
          <w:sz w:val="22"/>
        </w:rPr>
        <w:br/>
        <w:t>该方法适用于已知注册手机号及密码的用户，是常用的登录方式。</w:t>
      </w:r>
    </w:p>
    <w:p>
      <w:pPr>
        <w:ind w:firstLine="50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</w:rPr>
        <w:t>1.打开登录页面：在浏览器中打开平台登录网址，系统默认显示“账号密码登录”选项卡。</w:t>
      </w:r>
    </w:p>
    <w:p>
      <w:pPr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</w:rPr>
        <w:t>​</w:t>
      </w:r>
      <w:r>
        <w:rPr>
          <w:rFonts w:ascii="仿宋" w:eastAsia="仿宋" w:hAnsi="仿宋" w:cs="仿宋"/>
          <w:sz w:val="22"/>
        </w:rPr>
        <w:tab/>
        <w:t>2.输入手机号码：在“手机号码”输入框中，输入</w:t>
      </w:r>
      <w:proofErr w:type="gramStart"/>
      <w:r>
        <w:rPr>
          <w:rFonts w:ascii="仿宋" w:eastAsia="仿宋" w:hAnsi="仿宋" w:cs="仿宋"/>
          <w:sz w:val="22"/>
        </w:rPr>
        <w:t>您注册</w:t>
      </w:r>
      <w:proofErr w:type="gramEnd"/>
      <w:r>
        <w:rPr>
          <w:rFonts w:ascii="仿宋" w:eastAsia="仿宋" w:hAnsi="仿宋" w:cs="仿宋"/>
          <w:sz w:val="22"/>
        </w:rPr>
        <w:t>时使用的完整手机号。</w:t>
      </w:r>
    </w:p>
    <w:p>
      <w:pPr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</w:rPr>
        <w:t>​</w:t>
      </w:r>
      <w:r>
        <w:rPr>
          <w:rFonts w:ascii="仿宋" w:eastAsia="仿宋" w:hAnsi="仿宋" w:cs="仿宋"/>
          <w:sz w:val="22"/>
        </w:rPr>
        <w:tab/>
        <w:t>3.输入密码：在“密码”输入框中，输入您的登录密码。</w:t>
      </w:r>
    </w:p>
    <w:p>
      <w:pPr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</w:rPr>
        <w:t>​</w:t>
      </w:r>
      <w:r>
        <w:rPr>
          <w:rFonts w:ascii="仿宋" w:eastAsia="仿宋" w:hAnsi="仿宋" w:cs="仿宋"/>
          <w:sz w:val="22"/>
        </w:rPr>
        <w:tab/>
        <w:t>4.输入验证码：</w:t>
      </w:r>
    </w:p>
    <w:p>
      <w:pPr>
        <w:numPr>
          <w:ilvl w:val="0"/>
          <w:numId w:val="2"/>
        </w:numPr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</w:rPr>
        <w:t>查看“验证码”输入框右侧显示的图片验证码。</w:t>
      </w:r>
    </w:p>
    <w:p>
      <w:pPr>
        <w:numPr>
          <w:ilvl w:val="0"/>
          <w:numId w:val="2"/>
        </w:numPr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</w:rPr>
        <w:t>在“验证码”输入框中，​准确输入图片中所显示的字符（不区分大小写）。</w:t>
      </w:r>
    </w:p>
    <w:p>
      <w:pPr>
        <w:numPr>
          <w:ilvl w:val="0"/>
          <w:numId w:val="2"/>
        </w:numPr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</w:rPr>
        <w:t>如果验证码看不清，可点击验证</w:t>
      </w:r>
      <w:proofErr w:type="gramStart"/>
      <w:r>
        <w:rPr>
          <w:rFonts w:ascii="仿宋" w:eastAsia="仿宋" w:hAnsi="仿宋" w:cs="仿宋"/>
          <w:sz w:val="22"/>
        </w:rPr>
        <w:t>码图片</w:t>
      </w:r>
      <w:proofErr w:type="gramEnd"/>
      <w:r>
        <w:rPr>
          <w:rFonts w:ascii="仿宋" w:eastAsia="仿宋" w:hAnsi="仿宋" w:cs="仿宋"/>
          <w:sz w:val="22"/>
        </w:rPr>
        <w:t>本身进行刷新。</w:t>
      </w:r>
    </w:p>
    <w:p>
      <w:pPr>
        <w:ind w:firstLine="50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</w:rPr>
        <w:t>5.​点击登录：确认信息无误后，点击【登录】按钮。</w:t>
      </w:r>
    </w:p>
    <w:p>
      <w:pPr>
        <w:numPr>
          <w:ilvl w:val="0"/>
          <w:numId w:val="2"/>
        </w:numPr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</w:rPr>
        <w:t>​登录成功：系统验证通过后，将自动跳转至平台主页面。</w:t>
      </w:r>
    </w:p>
    <w:p>
      <w:pPr>
        <w:numPr>
          <w:ilvl w:val="0"/>
          <w:numId w:val="2"/>
        </w:numPr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</w:rPr>
        <w:t>​登录失败：系统会弹出相应提示（如：手机号未注册、密码错误、验证</w:t>
      </w:r>
      <w:proofErr w:type="gramStart"/>
      <w:r>
        <w:rPr>
          <w:rFonts w:ascii="仿宋" w:eastAsia="仿宋" w:hAnsi="仿宋" w:cs="仿宋"/>
          <w:sz w:val="22"/>
        </w:rPr>
        <w:t>码错误</w:t>
      </w:r>
      <w:proofErr w:type="gramEnd"/>
      <w:r>
        <w:rPr>
          <w:rFonts w:ascii="仿宋" w:eastAsia="仿宋" w:hAnsi="仿宋" w:cs="仿宋"/>
          <w:sz w:val="22"/>
        </w:rPr>
        <w:t>等），请根据提示核对信息后重试。</w:t>
      </w:r>
    </w:p>
    <w:p>
      <w:pPr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</w:rPr>
        <w:t>​方式二：手机快捷登录​</w:t>
      </w:r>
      <w:r>
        <w:rPr>
          <w:rFonts w:ascii="仿宋" w:eastAsia="仿宋" w:hAnsi="仿宋" w:cs="仿宋"/>
          <w:sz w:val="22"/>
        </w:rPr>
        <w:br/>
        <w:t>该方法无需记忆密码，通过接收短信验证码进行登录，适用于忘记密码或快速登录的场景。</w:t>
      </w:r>
    </w:p>
    <w:p>
      <w:pPr>
        <w:ind w:firstLine="50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</w:rPr>
        <w:t>​1.切换登录方式：在登录页面，点击“手机快捷登录”选项卡。</w:t>
      </w:r>
    </w:p>
    <w:p>
      <w:pPr>
        <w:ind w:firstLine="50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</w:rPr>
        <w:t>​2.输入手机号码：在“手机号码”输入框中，输入</w:t>
      </w:r>
      <w:proofErr w:type="gramStart"/>
      <w:r>
        <w:rPr>
          <w:rFonts w:ascii="仿宋" w:eastAsia="仿宋" w:hAnsi="仿宋" w:cs="仿宋"/>
          <w:sz w:val="22"/>
        </w:rPr>
        <w:t>您注册</w:t>
      </w:r>
      <w:proofErr w:type="gramEnd"/>
      <w:r>
        <w:rPr>
          <w:rFonts w:ascii="仿宋" w:eastAsia="仿宋" w:hAnsi="仿宋" w:cs="仿宋"/>
          <w:sz w:val="22"/>
        </w:rPr>
        <w:t>时使用的完整手机号。</w:t>
      </w:r>
    </w:p>
    <w:p>
      <w:pPr>
        <w:ind w:firstLine="50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</w:rPr>
        <w:t>​3.获取短信验证码：</w:t>
      </w:r>
    </w:p>
    <w:p>
      <w:pPr>
        <w:numPr>
          <w:ilvl w:val="0"/>
          <w:numId w:val="3"/>
        </w:numPr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</w:rPr>
        <w:t>点击【获取验证码】按钮。</w:t>
      </w:r>
    </w:p>
    <w:p>
      <w:pPr>
        <w:numPr>
          <w:ilvl w:val="0"/>
          <w:numId w:val="3"/>
        </w:numPr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</w:rPr>
        <w:t>系统会向该手机号发送一条包含验证码的短信。</w:t>
      </w:r>
    </w:p>
    <w:p>
      <w:pPr>
        <w:numPr>
          <w:ilvl w:val="0"/>
          <w:numId w:val="3"/>
        </w:numPr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</w:rPr>
        <w:t>按钮将变为“60s后重新获取”，请等待倒计时结束。若未收到短信，可在倒计时结束后重新点击。</w:t>
      </w:r>
    </w:p>
    <w:p>
      <w:pPr>
        <w:ind w:firstLine="50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</w:rPr>
        <w:t>4.​输入短信验证码：在“短信验证码”输入框中，填写收到的6位数字验证码。</w:t>
      </w:r>
    </w:p>
    <w:p>
      <w:pPr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</w:rPr>
        <w:t>​</w:t>
      </w:r>
      <w:r>
        <w:rPr>
          <w:rFonts w:ascii="仿宋" w:eastAsia="仿宋" w:hAnsi="仿宋" w:cs="仿宋"/>
          <w:sz w:val="22"/>
        </w:rPr>
        <w:tab/>
        <w:t>5.点击登录：输入短信验证码后，点击【登录】按钮。</w:t>
      </w:r>
    </w:p>
    <w:p>
      <w:pPr>
        <w:numPr>
          <w:ilvl w:val="0"/>
          <w:numId w:val="4"/>
        </w:numPr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</w:rPr>
        <w:t>​登录成功：系统验证通过后，将自动跳转至平台主页面。</w:t>
      </w:r>
    </w:p>
    <w:p>
      <w:pPr>
        <w:numPr>
          <w:ilvl w:val="0"/>
          <w:numId w:val="4"/>
        </w:numPr>
        <w:rPr>
          <w:rFonts w:ascii="微软雅黑" w:eastAsia="微软雅黑" w:hAnsi="微软雅黑" w:cs="微软雅黑"/>
        </w:rPr>
      </w:pPr>
      <w:r>
        <w:rPr>
          <w:rFonts w:ascii="仿宋" w:eastAsia="仿宋" w:hAnsi="仿宋" w:cs="仿宋"/>
          <w:sz w:val="22"/>
        </w:rPr>
        <w:lastRenderedPageBreak/>
        <w:t>​登录失败：系统会弹出相应提示（如：手机号未注册、验证</w:t>
      </w:r>
      <w:proofErr w:type="gramStart"/>
      <w:r>
        <w:rPr>
          <w:rFonts w:ascii="仿宋" w:eastAsia="仿宋" w:hAnsi="仿宋" w:cs="仿宋"/>
          <w:sz w:val="22"/>
        </w:rPr>
        <w:t>码错误</w:t>
      </w:r>
      <w:proofErr w:type="gramEnd"/>
      <w:r>
        <w:rPr>
          <w:rFonts w:ascii="仿宋" w:eastAsia="仿宋" w:hAnsi="仿宋" w:cs="仿宋"/>
          <w:sz w:val="22"/>
        </w:rPr>
        <w:t>或已过期等），请根据提示核对信息后重试。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br/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715000" cy="2999740"/>
            <wp:effectExtent l="0" t="0" r="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2.1.2 账号切换与退出</w:t>
      </w:r>
    </w:p>
    <w:p>
      <w:pPr>
        <w:pStyle w:val="Style13"/>
        <w:spacing w:after="80"/>
        <w:ind w:leftChars="-50" w:left="-105" w:rightChars="-1350" w:right="-2835" w:firstLineChars="200" w:firstLine="44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用户点击头像展示出退出按钮，点击退出按钮可以退出账号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726430" cy="3035300"/>
            <wp:effectExtent l="0" t="0" r="762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2.2基础数据导入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2.2.1人才培养方案管理</w:t>
      </w:r>
    </w:p>
    <w:p>
      <w:pPr>
        <w:pStyle w:val="Style13"/>
        <w:numPr>
          <w:ilvl w:val="0"/>
          <w:numId w:val="5"/>
        </w:numPr>
        <w:ind w:firstLineChars="200" w:firstLine="440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人才培养方案上传</w:t>
      </w:r>
    </w:p>
    <w:p>
      <w:pPr>
        <w:pStyle w:val="Style13"/>
        <w:ind w:firstLineChars="200" w:firstLine="440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/>
          <w:color w:val="000000"/>
        </w:rPr>
        <w:lastRenderedPageBreak/>
        <w:t>用户登录后点击左侧菜单中的基础数据管理-</w:t>
      </w:r>
      <w:proofErr w:type="gramStart"/>
      <w:r>
        <w:rPr>
          <w:rFonts w:ascii="仿宋" w:eastAsia="仿宋" w:hAnsi="仿宋" w:cs="仿宋"/>
          <w:color w:val="000000"/>
        </w:rPr>
        <w:t>》</w:t>
      </w:r>
      <w:proofErr w:type="gramEnd"/>
      <w:r>
        <w:rPr>
          <w:rFonts w:ascii="仿宋" w:eastAsia="仿宋" w:hAnsi="仿宋" w:cs="仿宋"/>
          <w:color w:val="000000"/>
        </w:rPr>
        <w:t>人才培养方案管理，选择专业点击</w:t>
      </w:r>
      <w:proofErr w:type="gramStart"/>
      <w:r>
        <w:rPr>
          <w:rFonts w:ascii="仿宋" w:eastAsia="仿宋" w:hAnsi="仿宋" w:cs="仿宋"/>
          <w:color w:val="000000"/>
        </w:rPr>
        <w:t>”</w:t>
      </w:r>
      <w:proofErr w:type="gramEnd"/>
      <w:r>
        <w:rPr>
          <w:rFonts w:ascii="仿宋" w:eastAsia="仿宋" w:hAnsi="仿宋" w:cs="仿宋"/>
          <w:color w:val="000000"/>
        </w:rPr>
        <w:t>方案上传“按钮上传人才培养方案</w:t>
      </w:r>
      <w:r>
        <w:rPr>
          <w:rFonts w:ascii="仿宋" w:eastAsia="仿宋" w:hAnsi="仿宋" w:cs="仿宋" w:hint="eastAsia"/>
          <w:color w:val="000000"/>
        </w:rPr>
        <w:t>，</w:t>
      </w:r>
      <w:r>
        <w:rPr>
          <w:rFonts w:ascii="仿宋" w:eastAsia="仿宋" w:hAnsi="仿宋" w:cs="仿宋"/>
          <w:color w:val="000000"/>
        </w:rPr>
        <w:t>用于</w:t>
      </w:r>
      <w:r>
        <w:rPr>
          <w:rFonts w:ascii="仿宋" w:eastAsia="仿宋" w:hAnsi="仿宋" w:cs="仿宋"/>
          <w:color w:val="000000"/>
          <w:shd w:val="clear" w:color="auto" w:fill="FFFFFF"/>
        </w:rPr>
        <w:t>提供智能预览、优化建议和版本管理功能</w:t>
      </w:r>
      <w:r>
        <w:rPr>
          <w:rFonts w:ascii="仿宋" w:eastAsia="仿宋" w:hAnsi="仿宋" w:cs="仿宋" w:hint="eastAsia"/>
          <w:color w:val="000000"/>
          <w:shd w:val="clear" w:color="auto" w:fill="FFFFFF"/>
        </w:rPr>
        <w:t>。</w:t>
      </w:r>
      <w:r>
        <w:rPr>
          <w:rFonts w:ascii="仿宋" w:eastAsia="仿宋" w:hAnsi="仿宋" w:cs="仿宋" w:hint="eastAsia"/>
          <w:noProof/>
          <w:color w:val="000000"/>
        </w:rPr>
        <w:drawing>
          <wp:inline distT="0" distB="0" distL="114300" distR="114300">
            <wp:extent cx="5726430" cy="3021330"/>
            <wp:effectExtent l="0" t="0" r="762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numPr>
          <w:ilvl w:val="0"/>
          <w:numId w:val="5"/>
        </w:numPr>
        <w:ind w:firstLineChars="200" w:firstLine="440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历史版本</w:t>
      </w:r>
    </w:p>
    <w:p>
      <w:pPr>
        <w:ind w:firstLineChars="200" w:firstLine="44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</w:rPr>
        <w:t>在人才培养方案中点击</w:t>
      </w:r>
      <w:proofErr w:type="gramStart"/>
      <w:r>
        <w:rPr>
          <w:rFonts w:ascii="仿宋" w:eastAsia="仿宋" w:hAnsi="仿宋" w:cs="仿宋"/>
          <w:sz w:val="22"/>
        </w:rPr>
        <w:t>”</w:t>
      </w:r>
      <w:proofErr w:type="gramEnd"/>
      <w:r>
        <w:rPr>
          <w:rFonts w:ascii="仿宋" w:eastAsia="仿宋" w:hAnsi="仿宋" w:cs="仿宋"/>
          <w:sz w:val="22"/>
        </w:rPr>
        <w:t>历史版本“按钮可以查看当前人才培养方案的历史版本信息。可以进行查看下载、预览文档、切换版本等操作。</w:t>
      </w:r>
    </w:p>
    <w:p>
      <w:r>
        <w:rPr>
          <w:rFonts w:hint="eastAsia"/>
          <w:noProof/>
        </w:rPr>
        <w:drawing>
          <wp:inline distT="0" distB="0" distL="114300" distR="114300">
            <wp:extent cx="5728970" cy="3817620"/>
            <wp:effectExtent l="0" t="0" r="508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numPr>
          <w:ilvl w:val="0"/>
          <w:numId w:val="5"/>
        </w:numPr>
        <w:ind w:firstLineChars="200" w:firstLine="440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重新上传</w:t>
      </w:r>
    </w:p>
    <w:p>
      <w:pPr>
        <w:ind w:firstLineChars="200" w:firstLine="44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</w:rPr>
        <w:t>在人才培养方案中点击</w:t>
      </w:r>
      <w:proofErr w:type="gramStart"/>
      <w:r>
        <w:rPr>
          <w:rFonts w:ascii="仿宋" w:eastAsia="仿宋" w:hAnsi="仿宋" w:cs="仿宋"/>
          <w:sz w:val="22"/>
        </w:rPr>
        <w:t>”</w:t>
      </w:r>
      <w:proofErr w:type="gramEnd"/>
      <w:r>
        <w:rPr>
          <w:rFonts w:ascii="仿宋" w:eastAsia="仿宋" w:hAnsi="仿宋" w:cs="仿宋" w:hint="eastAsia"/>
          <w:sz w:val="22"/>
        </w:rPr>
        <w:t>重新上传</w:t>
      </w:r>
      <w:r>
        <w:rPr>
          <w:rFonts w:ascii="仿宋" w:eastAsia="仿宋" w:hAnsi="仿宋" w:cs="仿宋"/>
          <w:sz w:val="22"/>
        </w:rPr>
        <w:t>“按钮可以</w:t>
      </w:r>
      <w:r>
        <w:rPr>
          <w:rFonts w:ascii="仿宋" w:eastAsia="仿宋" w:hAnsi="仿宋" w:cs="仿宋" w:hint="eastAsia"/>
          <w:sz w:val="22"/>
        </w:rPr>
        <w:t>重新上传新版本的人才培养方案，之前的版本会在历史版本中体现。</w:t>
      </w:r>
    </w:p>
    <w:p>
      <w:pPr>
        <w:pStyle w:val="Style13"/>
        <w:ind w:leftChars="200" w:left="420"/>
        <w:rPr>
          <w:rFonts w:ascii="仿宋" w:eastAsia="仿宋" w:hAnsi="仿宋" w:cs="仿宋"/>
          <w:color w:val="000000"/>
        </w:rPr>
      </w:pPr>
    </w:p>
    <w:p>
      <w:r>
        <w:rPr>
          <w:rFonts w:hint="eastAsia"/>
          <w:noProof/>
        </w:rPr>
        <w:drawing>
          <wp:inline distT="0" distB="0" distL="114300" distR="114300">
            <wp:extent cx="5724525" cy="3938270"/>
            <wp:effectExtent l="0" t="0" r="9525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2.2.2课程管理</w:t>
      </w:r>
    </w:p>
    <w:p>
      <w:pPr>
        <w:pStyle w:val="Style13"/>
        <w:ind w:firstLineChars="200" w:firstLine="440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/>
          <w:color w:val="000000"/>
        </w:rPr>
        <w:t>用户登录后点击左侧菜单中的基础数据管理-</w:t>
      </w:r>
      <w:proofErr w:type="gramStart"/>
      <w:r>
        <w:rPr>
          <w:rFonts w:ascii="仿宋" w:eastAsia="仿宋" w:hAnsi="仿宋" w:cs="仿宋"/>
          <w:color w:val="000000"/>
        </w:rPr>
        <w:t>》</w:t>
      </w:r>
      <w:proofErr w:type="gramEnd"/>
      <w:r>
        <w:rPr>
          <w:rFonts w:ascii="仿宋" w:eastAsia="仿宋" w:hAnsi="仿宋" w:cs="仿宋" w:hint="eastAsia"/>
          <w:color w:val="000000"/>
        </w:rPr>
        <w:t>课程管理。页面左侧为专业群中所有的专业列表，右侧为该专业的课程列表。具有查询课程、新增课程、批量导入、下载模板等操作。</w:t>
      </w:r>
    </w:p>
    <w:p>
      <w:pPr>
        <w:pStyle w:val="Style13"/>
        <w:numPr>
          <w:ilvl w:val="0"/>
          <w:numId w:val="6"/>
        </w:numPr>
        <w:ind w:firstLineChars="200" w:firstLine="440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新增课程</w:t>
      </w:r>
    </w:p>
    <w:p>
      <w:pPr>
        <w:pStyle w:val="Style13"/>
        <w:ind w:leftChars="200" w:left="420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用户选中专业后点击</w:t>
      </w:r>
      <w:proofErr w:type="gramStart"/>
      <w:r>
        <w:rPr>
          <w:rFonts w:ascii="仿宋" w:eastAsia="仿宋" w:hAnsi="仿宋" w:cs="仿宋" w:hint="eastAsia"/>
          <w:color w:val="000000"/>
        </w:rPr>
        <w:t>”</w:t>
      </w:r>
      <w:proofErr w:type="gramEnd"/>
      <w:r>
        <w:rPr>
          <w:rFonts w:ascii="仿宋" w:eastAsia="仿宋" w:hAnsi="仿宋" w:cs="仿宋" w:hint="eastAsia"/>
          <w:color w:val="000000"/>
        </w:rPr>
        <w:t>新增按钮“，根据弹窗内容填写课程基本信息并上传”课程标准</w:t>
      </w:r>
      <w:proofErr w:type="gramStart"/>
      <w:r>
        <w:rPr>
          <w:rFonts w:ascii="仿宋" w:eastAsia="仿宋" w:hAnsi="仿宋" w:cs="仿宋" w:hint="eastAsia"/>
          <w:color w:val="000000"/>
        </w:rPr>
        <w:t>“</w:t>
      </w:r>
      <w:proofErr w:type="gramEnd"/>
      <w:r>
        <w:rPr>
          <w:rFonts w:ascii="仿宋" w:eastAsia="仿宋" w:hAnsi="仿宋" w:cs="仿宋" w:hint="eastAsia"/>
          <w:color w:val="000000"/>
        </w:rPr>
        <w:t>文件后点击“提交”按钮进行提交。课程标准文件上传是为了更好的分析课程数据。</w:t>
      </w:r>
    </w:p>
    <w:p>
      <w:pPr>
        <w:pStyle w:val="Style13"/>
        <w:ind w:leftChars="200" w:left="420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noProof/>
          <w:color w:val="000000"/>
        </w:rPr>
        <w:drawing>
          <wp:inline distT="0" distB="0" distL="114300" distR="114300">
            <wp:extent cx="4983480" cy="2592070"/>
            <wp:effectExtent l="0" t="0" r="7620" b="177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numPr>
          <w:ilvl w:val="0"/>
          <w:numId w:val="6"/>
        </w:numPr>
        <w:ind w:firstLineChars="200" w:firstLine="440"/>
        <w:rPr>
          <w:rFonts w:ascii="微软雅黑" w:eastAsia="微软雅黑" w:hAnsi="微软雅黑" w:cs="微软雅黑"/>
        </w:rPr>
      </w:pPr>
      <w:r>
        <w:rPr>
          <w:rFonts w:ascii="仿宋" w:eastAsia="仿宋" w:hAnsi="仿宋" w:cs="仿宋" w:hint="eastAsia"/>
          <w:color w:val="000000"/>
        </w:rPr>
        <w:lastRenderedPageBreak/>
        <w:t>批量导入</w:t>
      </w:r>
    </w:p>
    <w:p>
      <w:pPr>
        <w:pStyle w:val="a6"/>
        <w:widowControl/>
        <w:spacing w:before="120" w:beforeAutospacing="0" w:after="120" w:afterAutospacing="0" w:line="288" w:lineRule="auto"/>
        <w:ind w:leftChars="200" w:left="420"/>
        <w:rPr>
          <w:rFonts w:ascii="仿宋" w:eastAsia="仿宋" w:hAnsi="仿宋" w:cs="仿宋"/>
          <w:color w:val="000000"/>
          <w:sz w:val="22"/>
        </w:rPr>
      </w:pPr>
      <w:r>
        <w:rPr>
          <w:rFonts w:ascii="仿宋" w:eastAsia="仿宋" w:hAnsi="仿宋" w:cs="仿宋"/>
          <w:color w:val="000000"/>
          <w:sz w:val="22"/>
          <w:lang w:bidi="ar"/>
        </w:rPr>
        <w:t>用户点击下载模板可以下载导入模板。模板为zip格式，解压后根据《注意事项.txt》文件内容进行修改。文件保存后将所有文件打成.zip的压缩包文件。点击按钮《批量导入》选择压缩</w:t>
      </w:r>
      <w:proofErr w:type="gramStart"/>
      <w:r>
        <w:rPr>
          <w:rFonts w:ascii="仿宋" w:eastAsia="仿宋" w:hAnsi="仿宋" w:cs="仿宋"/>
          <w:color w:val="000000"/>
          <w:sz w:val="22"/>
          <w:lang w:bidi="ar"/>
        </w:rPr>
        <w:t>包文件</w:t>
      </w:r>
      <w:proofErr w:type="gramEnd"/>
      <w:r>
        <w:rPr>
          <w:rFonts w:ascii="仿宋" w:eastAsia="仿宋" w:hAnsi="仿宋" w:cs="仿宋"/>
          <w:color w:val="000000"/>
          <w:sz w:val="22"/>
          <w:lang w:bidi="ar"/>
        </w:rPr>
        <w:t>即可。</w:t>
      </w:r>
    </w:p>
    <w:p>
      <w:pPr>
        <w:pStyle w:val="a6"/>
        <w:widowControl/>
        <w:spacing w:before="120" w:beforeAutospacing="0" w:after="120" w:afterAutospacing="0" w:line="288" w:lineRule="auto"/>
        <w:ind w:leftChars="200" w:left="420"/>
        <w:rPr>
          <w:rFonts w:ascii="仿宋" w:eastAsia="仿宋" w:hAnsi="仿宋" w:cs="仿宋"/>
          <w:color w:val="000000"/>
          <w:sz w:val="22"/>
        </w:rPr>
      </w:pPr>
      <w:r>
        <w:rPr>
          <w:rFonts w:ascii="仿宋" w:eastAsia="仿宋" w:hAnsi="仿宋" w:cs="仿宋"/>
          <w:color w:val="000000"/>
          <w:sz w:val="22"/>
          <w:lang w:bidi="ar"/>
        </w:rPr>
        <w:t>注意：课程名称必须与文件列表</w:t>
      </w:r>
    </w:p>
    <w:p>
      <w:pPr>
        <w:pStyle w:val="a6"/>
        <w:widowControl/>
        <w:spacing w:before="120" w:beforeAutospacing="0" w:after="120" w:afterAutospacing="0" w:line="288" w:lineRule="auto"/>
        <w:ind w:leftChars="200" w:left="420"/>
        <w:rPr>
          <w:rFonts w:ascii="仿宋" w:eastAsia="仿宋" w:hAnsi="仿宋" w:cs="仿宋"/>
          <w:color w:val="000000"/>
          <w:sz w:val="22"/>
        </w:rPr>
      </w:pPr>
      <w:r>
        <w:rPr>
          <w:rFonts w:ascii="仿宋" w:eastAsia="仿宋" w:hAnsi="仿宋" w:cs="仿宋"/>
          <w:color w:val="000000"/>
          <w:sz w:val="22"/>
          <w:lang w:bidi="ar"/>
        </w:rPr>
        <w:t xml:space="preserve"> </w:t>
      </w:r>
      <w:r>
        <w:rPr>
          <w:rFonts w:ascii="仿宋" w:eastAsia="仿宋" w:hAnsi="仿宋" w:cs="仿宋" w:hint="eastAsia"/>
          <w:noProof/>
          <w:color w:val="000000"/>
          <w:sz w:val="22"/>
        </w:rPr>
        <w:drawing>
          <wp:inline distT="0" distB="0" distL="114300" distR="114300">
            <wp:extent cx="5725160" cy="2045970"/>
            <wp:effectExtent l="0" t="0" r="8890" b="1143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723890" cy="2027555"/>
            <wp:effectExtent l="0" t="0" r="10160" b="1079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2.2.3学生管理</w:t>
      </w:r>
    </w:p>
    <w:p>
      <w:pPr>
        <w:pStyle w:val="Style13"/>
        <w:ind w:firstLineChars="200" w:firstLine="440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/>
          <w:color w:val="000000"/>
        </w:rPr>
        <w:t>用户登录后点击左侧菜单中的基础数据管理-</w:t>
      </w:r>
      <w:proofErr w:type="gramStart"/>
      <w:r>
        <w:rPr>
          <w:rFonts w:ascii="仿宋" w:eastAsia="仿宋" w:hAnsi="仿宋" w:cs="仿宋"/>
          <w:color w:val="000000"/>
        </w:rPr>
        <w:t>》</w:t>
      </w:r>
      <w:proofErr w:type="gramEnd"/>
      <w:r>
        <w:rPr>
          <w:rFonts w:ascii="仿宋" w:eastAsia="仿宋" w:hAnsi="仿宋" w:cs="仿宋" w:hint="eastAsia"/>
          <w:color w:val="000000"/>
        </w:rPr>
        <w:t>学生管理。学生管理中具有导入学生、查看班级、查看专业、批量删除等操作。</w:t>
      </w:r>
    </w:p>
    <w:p>
      <w:pPr>
        <w:pStyle w:val="Style13"/>
        <w:numPr>
          <w:ilvl w:val="0"/>
          <w:numId w:val="7"/>
        </w:numPr>
        <w:ind w:firstLineChars="200" w:firstLine="440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导入学生</w:t>
      </w:r>
    </w:p>
    <w:p>
      <w:pPr>
        <w:pStyle w:val="Style13"/>
        <w:ind w:leftChars="200" w:left="420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点击《导入学生》按钮，在导入学生窗口可以“下载导入模板”。选择专业后点击“选择文件按钮”选择导入模板后点击确定进行导入。</w:t>
      </w:r>
    </w:p>
    <w:p>
      <w:pPr>
        <w:pStyle w:val="Style13"/>
        <w:ind w:leftChars="200" w:left="420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noProof/>
          <w:color w:val="000000"/>
        </w:rPr>
        <w:lastRenderedPageBreak/>
        <w:drawing>
          <wp:inline distT="0" distB="0" distL="114300" distR="114300">
            <wp:extent cx="5724525" cy="3006090"/>
            <wp:effectExtent l="0" t="0" r="9525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numPr>
          <w:ilvl w:val="0"/>
          <w:numId w:val="7"/>
        </w:numPr>
        <w:ind w:firstLineChars="200" w:firstLine="440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查看班级</w:t>
      </w:r>
    </w:p>
    <w:p>
      <w:pPr>
        <w:pStyle w:val="Style13"/>
        <w:ind w:leftChars="200" w:left="420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点击《查看班级》按钮可以查看班级、学生等信息。</w:t>
      </w:r>
    </w:p>
    <w:p>
      <w:pPr>
        <w:pStyle w:val="Style13"/>
        <w:ind w:leftChars="200" w:left="420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noProof/>
          <w:color w:val="000000"/>
        </w:rPr>
        <w:drawing>
          <wp:inline distT="0" distB="0" distL="114300" distR="114300">
            <wp:extent cx="5718810" cy="3342005"/>
            <wp:effectExtent l="0" t="0" r="15240" b="107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numPr>
          <w:ilvl w:val="0"/>
          <w:numId w:val="7"/>
        </w:numPr>
        <w:ind w:firstLineChars="200" w:firstLine="440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查看专业</w:t>
      </w:r>
    </w:p>
    <w:p>
      <w:pPr>
        <w:pStyle w:val="Style13"/>
        <w:ind w:leftChars="200" w:left="420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点击《查看专业》按钮可以查看专业相关信息，如：专业数、班级数、学生数等。</w:t>
      </w:r>
    </w:p>
    <w:p>
      <w:pPr>
        <w:pStyle w:val="Style13"/>
        <w:ind w:leftChars="200" w:left="420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noProof/>
          <w:color w:val="000000"/>
        </w:rPr>
        <w:lastRenderedPageBreak/>
        <w:drawing>
          <wp:inline distT="0" distB="0" distL="114300" distR="114300">
            <wp:extent cx="5716270" cy="2904490"/>
            <wp:effectExtent l="0" t="0" r="17780" b="1016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2.2.4职业大典</w:t>
      </w:r>
    </w:p>
    <w:p>
      <w:pPr>
        <w:pStyle w:val="Style13"/>
        <w:ind w:firstLineChars="200" w:firstLine="440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/>
          <w:color w:val="000000"/>
        </w:rPr>
        <w:t>用户登录后点击左侧菜单中的基础数据管理-</w:t>
      </w:r>
      <w:proofErr w:type="gramStart"/>
      <w:r>
        <w:rPr>
          <w:rFonts w:ascii="仿宋" w:eastAsia="仿宋" w:hAnsi="仿宋" w:cs="仿宋"/>
          <w:color w:val="000000"/>
        </w:rPr>
        <w:t>》</w:t>
      </w:r>
      <w:proofErr w:type="gramEnd"/>
      <w:r>
        <w:rPr>
          <w:rFonts w:ascii="仿宋" w:eastAsia="仿宋" w:hAnsi="仿宋" w:cs="仿宋" w:hint="eastAsia"/>
          <w:color w:val="000000"/>
        </w:rPr>
        <w:t>职业大典。页面左侧为职业分类，右侧为分类下的职业列表。具有查询职业、职业标准、能力图谱、在招岗位、职业模型等操作。</w:t>
      </w:r>
    </w:p>
    <w:p>
      <w:pPr>
        <w:pStyle w:val="Style13"/>
        <w:ind w:firstLineChars="200" w:firstLine="440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noProof/>
          <w:color w:val="000000"/>
        </w:rPr>
        <w:drawing>
          <wp:inline distT="0" distB="0" distL="114300" distR="114300">
            <wp:extent cx="5722620" cy="3028950"/>
            <wp:effectExtent l="0" t="0" r="1143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numPr>
          <w:ilvl w:val="0"/>
          <w:numId w:val="8"/>
        </w:numPr>
        <w:ind w:firstLineChars="200" w:firstLine="440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职业标准</w:t>
      </w:r>
    </w:p>
    <w:p>
      <w:pPr>
        <w:pStyle w:val="Style13"/>
        <w:ind w:leftChars="200" w:left="420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选择搜索职业后点击《职业标准》可以展示出当前职业的职业标准文件。</w:t>
      </w:r>
    </w:p>
    <w:p>
      <w:pPr>
        <w:pStyle w:val="Style13"/>
        <w:ind w:leftChars="200" w:left="420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noProof/>
          <w:color w:val="000000"/>
        </w:rPr>
        <w:lastRenderedPageBreak/>
        <w:drawing>
          <wp:inline distT="0" distB="0" distL="114300" distR="114300">
            <wp:extent cx="5729605" cy="4598670"/>
            <wp:effectExtent l="0" t="0" r="4445" b="114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numPr>
          <w:ilvl w:val="0"/>
          <w:numId w:val="8"/>
        </w:numPr>
        <w:ind w:firstLineChars="200" w:firstLine="440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能力图谱</w:t>
      </w:r>
    </w:p>
    <w:p>
      <w:pPr>
        <w:pStyle w:val="Style13"/>
        <w:ind w:leftChars="200" w:left="420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点击《能力图谱》可以查看该职业的能力图谱信息。</w:t>
      </w:r>
    </w:p>
    <w:p>
      <w:pPr>
        <w:pStyle w:val="Style13"/>
        <w:ind w:leftChars="200" w:left="420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noProof/>
          <w:color w:val="000000"/>
        </w:rPr>
        <w:drawing>
          <wp:inline distT="0" distB="0" distL="114300" distR="114300">
            <wp:extent cx="5730240" cy="3006725"/>
            <wp:effectExtent l="0" t="0" r="3810" b="31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numPr>
          <w:ilvl w:val="0"/>
          <w:numId w:val="8"/>
        </w:numPr>
        <w:ind w:firstLineChars="200" w:firstLine="440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在招岗位</w:t>
      </w:r>
    </w:p>
    <w:p>
      <w:pPr>
        <w:pStyle w:val="Style13"/>
        <w:ind w:leftChars="200" w:left="420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lastRenderedPageBreak/>
        <w:t>点击《在招岗位》可以查看该职业的在招岗位。</w:t>
      </w:r>
    </w:p>
    <w:p>
      <w:pPr>
        <w:pStyle w:val="Style13"/>
        <w:ind w:leftChars="200" w:left="420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noProof/>
          <w:color w:val="000000"/>
        </w:rPr>
        <w:drawing>
          <wp:inline distT="0" distB="0" distL="114300" distR="114300">
            <wp:extent cx="5720080" cy="3463290"/>
            <wp:effectExtent l="0" t="0" r="1397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numPr>
          <w:ilvl w:val="0"/>
          <w:numId w:val="8"/>
        </w:numPr>
        <w:ind w:firstLineChars="200" w:firstLine="440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职业详情</w:t>
      </w:r>
    </w:p>
    <w:p>
      <w:pPr>
        <w:pStyle w:val="Style13"/>
        <w:ind w:leftChars="200" w:left="420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点击《职业详情》可以查看该职业的详细信息包含基础信息、职业要求、职业发展前景、相关职业、个人发展路径等。</w:t>
      </w:r>
    </w:p>
    <w:p>
      <w:pPr>
        <w:pStyle w:val="Style13"/>
        <w:ind w:leftChars="200" w:left="420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noProof/>
          <w:color w:val="000000"/>
        </w:rPr>
        <w:drawing>
          <wp:inline distT="0" distB="0" distL="114300" distR="114300">
            <wp:extent cx="4518660" cy="4117975"/>
            <wp:effectExtent l="0" t="0" r="15240" b="158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2.2.5职业大典</w:t>
      </w:r>
    </w:p>
    <w:p>
      <w:pPr>
        <w:pStyle w:val="Style13"/>
        <w:ind w:firstLineChars="200" w:firstLine="440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/>
          <w:color w:val="000000"/>
        </w:rPr>
        <w:t>用户登录后点击左侧菜单中的基础数据管理-</w:t>
      </w:r>
      <w:proofErr w:type="gramStart"/>
      <w:r>
        <w:rPr>
          <w:rFonts w:ascii="仿宋" w:eastAsia="仿宋" w:hAnsi="仿宋" w:cs="仿宋"/>
          <w:color w:val="000000"/>
        </w:rPr>
        <w:t>》</w:t>
      </w:r>
      <w:proofErr w:type="gramEnd"/>
      <w:r>
        <w:rPr>
          <w:rFonts w:ascii="仿宋" w:eastAsia="仿宋" w:hAnsi="仿宋" w:cs="仿宋" w:hint="eastAsia"/>
          <w:color w:val="000000"/>
        </w:rPr>
        <w:t>专业库。页面左侧为专业分类，右侧为当前</w:t>
      </w:r>
      <w:proofErr w:type="gramStart"/>
      <w:r>
        <w:rPr>
          <w:rFonts w:ascii="仿宋" w:eastAsia="仿宋" w:hAnsi="仿宋" w:cs="仿宋" w:hint="eastAsia"/>
          <w:color w:val="000000"/>
        </w:rPr>
        <w:t>专业类下的</w:t>
      </w:r>
      <w:proofErr w:type="gramEnd"/>
      <w:r>
        <w:rPr>
          <w:rFonts w:ascii="仿宋" w:eastAsia="仿宋" w:hAnsi="仿宋" w:cs="仿宋" w:hint="eastAsia"/>
          <w:color w:val="000000"/>
        </w:rPr>
        <w:t>专业。可以选择选择进行专业探索。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noProof/>
          <w:color w:val="000000"/>
        </w:rPr>
        <w:drawing>
          <wp:inline distT="0" distB="0" distL="114300" distR="114300">
            <wp:extent cx="5721350" cy="3490595"/>
            <wp:effectExtent l="0" t="0" r="12700" b="146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rPr>
          <w:rFonts w:ascii="微软雅黑" w:eastAsia="微软雅黑" w:hAnsi="微软雅黑" w:cs="微软雅黑"/>
        </w:rPr>
      </w:pPr>
    </w:p>
    <w:p>
      <w:pPr>
        <w:pStyle w:val="2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第三章 核心功能模块操作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3.1 产业需求中心</w:t>
      </w:r>
    </w:p>
    <w:p>
      <w:pPr>
        <w:pStyle w:val="Style13"/>
        <w:rPr>
          <w:rFonts w:ascii="微软雅黑" w:eastAsia="微软雅黑" w:hAnsi="微软雅黑" w:cs="微软雅黑"/>
          <w:szCs w:val="32"/>
        </w:rPr>
      </w:pPr>
      <w:r>
        <w:rPr>
          <w:rFonts w:ascii="微软雅黑" w:eastAsia="微软雅黑" w:hAnsi="微软雅黑" w:cs="微软雅黑" w:hint="eastAsia"/>
        </w:rPr>
        <w:t>3.1.1 产业需求看板</w:t>
      </w:r>
      <w:r>
        <w:rPr>
          <w:rFonts w:ascii="微软雅黑" w:eastAsia="微软雅黑" w:hAnsi="微软雅黑" w:cs="微软雅黑" w:hint="eastAsia"/>
        </w:rPr>
        <w:br/>
        <w:t>1. 功能概述</w:t>
      </w:r>
    </w:p>
    <w:p>
      <w:pPr>
        <w:pStyle w:val="Style13"/>
        <w:ind w:firstLine="500"/>
        <w:rPr>
          <w:rFonts w:ascii="仿宋" w:eastAsia="仿宋" w:hAnsi="仿宋" w:cs="微软雅黑"/>
          <w:szCs w:val="32"/>
        </w:rPr>
      </w:pPr>
      <w:r>
        <w:rPr>
          <w:rFonts w:ascii="仿宋" w:eastAsia="仿宋" w:hAnsi="仿宋" w:cs="微软雅黑" w:hint="eastAsia"/>
          <w:szCs w:val="32"/>
        </w:rPr>
        <w:t>该模块通过多维</w:t>
      </w:r>
      <w:proofErr w:type="gramStart"/>
      <w:r>
        <w:rPr>
          <w:rFonts w:ascii="仿宋" w:eastAsia="仿宋" w:hAnsi="仿宋" w:cs="微软雅黑" w:hint="eastAsia"/>
          <w:szCs w:val="32"/>
        </w:rPr>
        <w:t>度数据</w:t>
      </w:r>
      <w:proofErr w:type="gramEnd"/>
      <w:r>
        <w:rPr>
          <w:rFonts w:ascii="仿宋" w:eastAsia="仿宋" w:hAnsi="仿宋" w:cs="微软雅黑" w:hint="eastAsia"/>
          <w:szCs w:val="32"/>
        </w:rPr>
        <w:t>可视化，整合 “产业指标、人才需求、岗位能力需求” 三大维度信息，以图表、地图、词云等形式，直观呈现全国产业人才的供需状况、招聘趋势、热门技能与职业分布等内容。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2. 操作步骤</w:t>
      </w:r>
    </w:p>
    <w:p>
      <w:pPr>
        <w:pStyle w:val="2"/>
        <w:spacing w:line="240" w:lineRule="auto"/>
        <w:rPr>
          <w:rFonts w:ascii="仿宋" w:eastAsia="仿宋" w:hAnsi="仿宋" w:cs="微软雅黑"/>
          <w:b w:val="0"/>
          <w:bCs w:val="0"/>
          <w:sz w:val="22"/>
        </w:rPr>
      </w:pPr>
      <w:r>
        <w:rPr>
          <w:rFonts w:ascii="仿宋" w:eastAsia="仿宋" w:hAnsi="仿宋" w:cs="微软雅黑" w:hint="eastAsia"/>
          <w:b w:val="0"/>
          <w:bCs w:val="0"/>
          <w:sz w:val="22"/>
        </w:rPr>
        <w:t>（1）“产业需求概览” 操作</w:t>
      </w:r>
    </w:p>
    <w:p>
      <w:pPr>
        <w:pStyle w:val="2"/>
        <w:ind w:firstLine="500"/>
        <w:rPr>
          <w:rFonts w:ascii="仿宋" w:eastAsia="仿宋" w:hAnsi="仿宋" w:cs="微软雅黑"/>
          <w:b w:val="0"/>
          <w:bCs w:val="0"/>
          <w:sz w:val="22"/>
        </w:rPr>
      </w:pPr>
      <w:r>
        <w:rPr>
          <w:rFonts w:ascii="仿宋" w:eastAsia="仿宋" w:hAnsi="仿宋" w:cs="微软雅黑" w:hint="eastAsia"/>
          <w:b w:val="0"/>
          <w:bCs w:val="0"/>
          <w:sz w:val="22"/>
        </w:rPr>
        <w:t>产业指标：页面上方 “产业指标” 区域，可查看企业数、岗位数、专业相关岗位占比、平均薪资水平。点击 “全部” 可切换时间维度（默认展示 “近 30 天” 时间范围数据）。</w:t>
      </w:r>
    </w:p>
    <w:p>
      <w:pPr>
        <w:pStyle w:val="2"/>
        <w:spacing w:line="240" w:lineRule="auto"/>
        <w:ind w:firstLine="500"/>
        <w:rPr>
          <w:rFonts w:ascii="仿宋" w:eastAsia="仿宋" w:hAnsi="仿宋" w:cs="微软雅黑"/>
          <w:b w:val="0"/>
          <w:bCs w:val="0"/>
          <w:sz w:val="22"/>
        </w:rPr>
      </w:pPr>
      <w:r>
        <w:rPr>
          <w:rFonts w:ascii="仿宋" w:eastAsia="仿宋" w:hAnsi="仿宋" w:cs="微软雅黑" w:hint="eastAsia"/>
          <w:b w:val="0"/>
          <w:bCs w:val="0"/>
          <w:sz w:val="22"/>
        </w:rPr>
        <w:lastRenderedPageBreak/>
        <w:t>需求人才薪资水平区间分布：查看环形图，不同颜色代表不同薪资区间，同步展示各区间占比。</w:t>
      </w:r>
    </w:p>
    <w:p>
      <w:pPr>
        <w:pStyle w:val="2"/>
        <w:spacing w:line="240" w:lineRule="auto"/>
        <w:ind w:firstLine="500"/>
        <w:rPr>
          <w:rFonts w:ascii="仿宋" w:eastAsia="仿宋" w:hAnsi="仿宋" w:cs="微软雅黑"/>
          <w:b w:val="0"/>
          <w:bCs w:val="0"/>
          <w:sz w:val="22"/>
        </w:rPr>
      </w:pPr>
      <w:r>
        <w:rPr>
          <w:rFonts w:ascii="仿宋" w:eastAsia="仿宋" w:hAnsi="仿宋" w:cs="微软雅黑" w:hint="eastAsia"/>
          <w:b w:val="0"/>
          <w:bCs w:val="0"/>
          <w:sz w:val="22"/>
        </w:rPr>
        <w:t>月招聘数量趋势：查看折线图，蓝色线为 “招聘企业数”，绿色线为 “招聘人数”，横轴为时间(近六月)，纵轴为对应数量，直观呈现招聘趋势变化。</w:t>
      </w:r>
    </w:p>
    <w:p>
      <w:pPr>
        <w:pStyle w:val="2"/>
        <w:ind w:firstLine="500"/>
        <w:rPr>
          <w:rFonts w:ascii="仿宋" w:eastAsia="仿宋" w:hAnsi="仿宋" w:cs="微软雅黑"/>
          <w:b w:val="0"/>
          <w:bCs w:val="0"/>
          <w:sz w:val="22"/>
        </w:rPr>
      </w:pPr>
      <w:r>
        <w:rPr>
          <w:rFonts w:ascii="仿宋" w:eastAsia="仿宋" w:hAnsi="仿宋" w:cs="微软雅黑" w:hint="eastAsia"/>
          <w:b w:val="0"/>
          <w:bCs w:val="0"/>
          <w:sz w:val="22"/>
        </w:rPr>
        <w:t>全国产业人才需求热力图：查看中国地图，颜色从 “浅黄色→深红色” 代表人才需求 “一般紧缺→高度紧缺”鼠标 hover查看岗位需求数量，点击详情可查看区域人才需求统计；右侧 “热门技能” 词云图 （字体越大需求越高）、“热门职业排行” 列表（展示岗位名称与匹配岗位数）。</w:t>
      </w:r>
    </w:p>
    <w:p>
      <w:pPr>
        <w:rPr>
          <w:rFonts w:ascii="仿宋" w:eastAsia="仿宋" w:hAnsi="仿宋" w:cs="微软雅黑"/>
          <w:sz w:val="22"/>
          <w:szCs w:val="32"/>
        </w:rPr>
      </w:pPr>
    </w:p>
    <w:p>
      <w:pPr>
        <w:rPr>
          <w:rFonts w:ascii="仿宋" w:eastAsia="仿宋" w:hAnsi="仿宋" w:cs="微软雅黑"/>
          <w:sz w:val="22"/>
          <w:szCs w:val="32"/>
        </w:rPr>
      </w:pPr>
      <w:r>
        <w:rPr>
          <w:rFonts w:ascii="仿宋" w:eastAsia="仿宋" w:hAnsi="仿宋" w:cs="微软雅黑" w:hint="eastAsia"/>
          <w:sz w:val="22"/>
          <w:szCs w:val="32"/>
        </w:rPr>
        <w:t>查看区域人才需求页面如下图所示：</w:t>
      </w:r>
    </w:p>
    <w:p>
      <w:pPr>
        <w:rPr>
          <w:rFonts w:ascii="仿宋" w:eastAsia="仿宋" w:hAnsi="仿宋" w:cs="微软雅黑"/>
          <w:sz w:val="22"/>
          <w:szCs w:val="32"/>
        </w:rPr>
      </w:pPr>
    </w:p>
    <w:p>
      <w:pPr>
        <w:rPr>
          <w:rFonts w:ascii="仿宋" w:eastAsia="仿宋" w:hAnsi="仿宋" w:cs="微软雅黑"/>
          <w:sz w:val="22"/>
          <w:szCs w:val="32"/>
        </w:rPr>
      </w:pPr>
      <w:r>
        <w:rPr>
          <w:rFonts w:ascii="仿宋" w:eastAsia="仿宋" w:hAnsi="仿宋" w:cs="微软雅黑" w:hint="eastAsia"/>
          <w:noProof/>
          <w:sz w:val="22"/>
          <w:szCs w:val="32"/>
        </w:rPr>
        <w:drawing>
          <wp:inline distT="0" distB="0" distL="114300" distR="114300">
            <wp:extent cx="5722620" cy="2952750"/>
            <wp:effectExtent l="0" t="0" r="1143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noProof/>
        </w:rPr>
        <w:drawing>
          <wp:inline distT="0" distB="0" distL="114300" distR="114300">
            <wp:extent cx="5718810" cy="3032125"/>
            <wp:effectExtent l="0" t="0" r="15240" b="158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lastRenderedPageBreak/>
        <w:t>产业需求概览页面如下图所示：</w:t>
      </w:r>
    </w:p>
    <w:p/>
    <w:p>
      <w:r>
        <w:rPr>
          <w:rFonts w:hint="eastAsia"/>
          <w:noProof/>
        </w:rPr>
        <w:drawing>
          <wp:inline distT="0" distB="0" distL="114300" distR="114300">
            <wp:extent cx="5727700" cy="3086735"/>
            <wp:effectExtent l="0" t="0" r="6350" b="184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仿宋" w:eastAsia="仿宋" w:hAnsi="仿宋" w:cs="微软雅黑"/>
          <w:b w:val="0"/>
          <w:bCs w:val="0"/>
          <w:sz w:val="22"/>
        </w:rPr>
      </w:pPr>
      <w:r>
        <w:rPr>
          <w:rFonts w:ascii="仿宋" w:eastAsia="仿宋" w:hAnsi="仿宋" w:cs="微软雅黑" w:hint="eastAsia"/>
          <w:b w:val="0"/>
          <w:bCs w:val="0"/>
          <w:sz w:val="22"/>
        </w:rPr>
        <w:t>（2）“人才需求” 标签页操作</w:t>
      </w:r>
    </w:p>
    <w:p>
      <w:pPr>
        <w:pStyle w:val="2"/>
        <w:ind w:firstLine="500"/>
        <w:rPr>
          <w:rFonts w:ascii="仿宋" w:eastAsia="仿宋" w:hAnsi="仿宋" w:cs="微软雅黑"/>
          <w:b w:val="0"/>
          <w:bCs w:val="0"/>
          <w:sz w:val="22"/>
        </w:rPr>
      </w:pPr>
      <w:r>
        <w:rPr>
          <w:rFonts w:ascii="仿宋" w:eastAsia="仿宋" w:hAnsi="仿宋" w:cs="微软雅黑" w:hint="eastAsia"/>
          <w:b w:val="0"/>
          <w:bCs w:val="0"/>
          <w:sz w:val="22"/>
        </w:rPr>
        <w:t>月新增职位数量：查看折线填充图，横轴为时间（近六月），纵轴为新增职位数，可直观了解职位发布趋势。</w:t>
      </w:r>
    </w:p>
    <w:p>
      <w:pPr>
        <w:pStyle w:val="2"/>
        <w:ind w:firstLine="500"/>
        <w:rPr>
          <w:rFonts w:ascii="仿宋" w:eastAsia="仿宋" w:hAnsi="仿宋" w:cs="微软雅黑"/>
          <w:b w:val="0"/>
          <w:bCs w:val="0"/>
          <w:sz w:val="22"/>
        </w:rPr>
      </w:pPr>
      <w:r>
        <w:rPr>
          <w:rFonts w:ascii="仿宋" w:eastAsia="仿宋" w:hAnsi="仿宋" w:cs="微软雅黑" w:hint="eastAsia"/>
          <w:b w:val="0"/>
          <w:bCs w:val="0"/>
          <w:sz w:val="22"/>
        </w:rPr>
        <w:t>需求人才类型分布：查看环形图，可通过「按类型 / 按学历」切换维度。“按类型” 时，展示「全职、兼职」占比；“按学历” 时，展示不同学历人才需求占比。</w:t>
      </w:r>
    </w:p>
    <w:p>
      <w:pPr>
        <w:pStyle w:val="2"/>
        <w:ind w:firstLine="500"/>
        <w:rPr>
          <w:rFonts w:ascii="仿宋" w:eastAsia="仿宋" w:hAnsi="仿宋" w:cs="微软雅黑"/>
          <w:b w:val="0"/>
          <w:bCs w:val="0"/>
          <w:sz w:val="22"/>
        </w:rPr>
      </w:pPr>
      <w:r>
        <w:rPr>
          <w:rFonts w:ascii="仿宋" w:eastAsia="仿宋" w:hAnsi="仿宋" w:cs="微软雅黑" w:hint="eastAsia"/>
          <w:b w:val="0"/>
          <w:bCs w:val="0"/>
          <w:sz w:val="22"/>
        </w:rPr>
        <w:t>需求人才薪资分布：查看箱线图，可通过「行业 / 学历」切换维度</w:t>
      </w:r>
    </w:p>
    <w:p>
      <w:pPr>
        <w:pStyle w:val="2"/>
        <w:ind w:firstLine="500"/>
        <w:rPr>
          <w:rFonts w:ascii="仿宋" w:eastAsia="仿宋" w:hAnsi="仿宋" w:cs="微软雅黑"/>
          <w:b w:val="0"/>
          <w:bCs w:val="0"/>
          <w:sz w:val="22"/>
        </w:rPr>
      </w:pPr>
      <w:r>
        <w:rPr>
          <w:rFonts w:ascii="仿宋" w:eastAsia="仿宋" w:hAnsi="仿宋" w:cs="微软雅黑" w:hint="eastAsia"/>
          <w:b w:val="0"/>
          <w:bCs w:val="0"/>
          <w:sz w:val="22"/>
        </w:rPr>
        <w:t>招聘企业画像：右侧查看以下数据：</w:t>
      </w:r>
    </w:p>
    <w:p>
      <w:pPr>
        <w:pStyle w:val="2"/>
        <w:numPr>
          <w:ilvl w:val="2"/>
          <w:numId w:val="9"/>
        </w:numPr>
        <w:rPr>
          <w:rFonts w:ascii="仿宋" w:eastAsia="仿宋" w:hAnsi="仿宋" w:cs="微软雅黑"/>
          <w:b w:val="0"/>
          <w:bCs w:val="0"/>
          <w:sz w:val="22"/>
        </w:rPr>
      </w:pPr>
      <w:r>
        <w:rPr>
          <w:rFonts w:ascii="仿宋" w:eastAsia="仿宋" w:hAnsi="仿宋" w:cs="微软雅黑" w:hint="eastAsia"/>
          <w:b w:val="0"/>
          <w:bCs w:val="0"/>
          <w:sz w:val="22"/>
        </w:rPr>
        <w:t>「不同性质/不同规模企业占比」环形图（如民营企业、国有企业、机关 / 事业单位等占比）；</w:t>
      </w:r>
    </w:p>
    <w:p>
      <w:pPr>
        <w:pStyle w:val="2"/>
        <w:numPr>
          <w:ilvl w:val="2"/>
          <w:numId w:val="10"/>
        </w:numPr>
        <w:rPr>
          <w:rFonts w:ascii="仿宋" w:eastAsia="仿宋" w:hAnsi="仿宋" w:cs="微软雅黑"/>
          <w:b w:val="0"/>
          <w:bCs w:val="0"/>
          <w:sz w:val="22"/>
        </w:rPr>
      </w:pPr>
      <w:r>
        <w:rPr>
          <w:rFonts w:ascii="仿宋" w:eastAsia="仿宋" w:hAnsi="仿宋" w:cs="微软雅黑" w:hint="eastAsia"/>
          <w:b w:val="0"/>
          <w:bCs w:val="0"/>
          <w:sz w:val="22"/>
        </w:rPr>
        <w:t>「不同性质/不同规模企业平均薪资对比」柱状图（对比薪资）；</w:t>
      </w:r>
    </w:p>
    <w:p>
      <w:pPr>
        <w:pStyle w:val="2"/>
        <w:numPr>
          <w:ilvl w:val="2"/>
          <w:numId w:val="11"/>
        </w:numPr>
        <w:rPr>
          <w:rFonts w:ascii="仿宋" w:eastAsia="仿宋" w:hAnsi="仿宋" w:cs="微软雅黑"/>
          <w:b w:val="0"/>
          <w:bCs w:val="0"/>
          <w:sz w:val="22"/>
        </w:rPr>
      </w:pPr>
      <w:r>
        <w:rPr>
          <w:rFonts w:ascii="仿宋" w:eastAsia="仿宋" w:hAnsi="仿宋" w:cs="微软雅黑" w:hint="eastAsia"/>
          <w:b w:val="0"/>
          <w:bCs w:val="0"/>
          <w:sz w:val="22"/>
        </w:rPr>
        <w:t>「企业招聘人数排行」列表。</w:t>
      </w:r>
    </w:p>
    <w:p>
      <w:r>
        <w:rPr>
          <w:rFonts w:hint="eastAsia"/>
          <w:noProof/>
        </w:rPr>
        <w:lastRenderedPageBreak/>
        <w:drawing>
          <wp:inline distT="0" distB="0" distL="114300" distR="114300">
            <wp:extent cx="5717540" cy="3128645"/>
            <wp:effectExtent l="0" t="0" r="16510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仿宋" w:eastAsia="仿宋" w:hAnsi="仿宋" w:cs="微软雅黑"/>
          <w:b w:val="0"/>
          <w:bCs w:val="0"/>
          <w:sz w:val="22"/>
        </w:rPr>
      </w:pPr>
      <w:r>
        <w:rPr>
          <w:rFonts w:ascii="仿宋" w:eastAsia="仿宋" w:hAnsi="仿宋" w:cs="微软雅黑" w:hint="eastAsia"/>
          <w:b w:val="0"/>
          <w:bCs w:val="0"/>
          <w:sz w:val="22"/>
        </w:rPr>
        <w:t>（3）“岗位能力需求” 标签页操作</w:t>
      </w:r>
    </w:p>
    <w:p>
      <w:pPr>
        <w:pStyle w:val="2"/>
        <w:ind w:firstLine="500"/>
        <w:rPr>
          <w:rFonts w:ascii="仿宋" w:eastAsia="仿宋" w:hAnsi="仿宋" w:cs="仿宋"/>
          <w:b w:val="0"/>
          <w:bCs w:val="0"/>
          <w:kern w:val="2"/>
          <w:sz w:val="22"/>
          <w:szCs w:val="22"/>
          <w:lang w:bidi="ar"/>
        </w:rPr>
      </w:pPr>
      <w:r>
        <w:rPr>
          <w:rFonts w:ascii="仿宋" w:eastAsia="仿宋" w:hAnsi="仿宋" w:cs="微软雅黑" w:hint="eastAsia"/>
          <w:b w:val="0"/>
          <w:bCs w:val="0"/>
          <w:sz w:val="22"/>
        </w:rPr>
        <w:t>月招聘岗位数量趋势：查看多折线图，不同颜色线代表不同岗位类型，横轴为时间(近六月)，纵轴为岗位数量；右上角 “1/376” 表示可切换查看更多岗位类型。</w:t>
      </w:r>
    </w:p>
    <w:p>
      <w:pPr>
        <w:pStyle w:val="2"/>
        <w:ind w:firstLine="500"/>
        <w:rPr>
          <w:rFonts w:ascii="仿宋" w:eastAsia="仿宋" w:hAnsi="仿宋" w:cs="微软雅黑"/>
          <w:b w:val="0"/>
          <w:bCs w:val="0"/>
          <w:sz w:val="22"/>
        </w:rPr>
      </w:pPr>
      <w:r>
        <w:rPr>
          <w:rFonts w:ascii="仿宋" w:eastAsia="仿宋" w:hAnsi="仿宋" w:cs="微软雅黑" w:hint="eastAsia"/>
          <w:b w:val="0"/>
          <w:bCs w:val="0"/>
          <w:sz w:val="22"/>
        </w:rPr>
        <w:t>岗位人格偏好分析：查看横向条形图，展示「E 外向 / I 内向、S 感觉 / N 直觉、T 思考 / F 情感、J 判断 / P 知觉」四大人格维度的占比（如 “E 外向” 占 61%，“I 内向” 占 39%）。点击「占比 / 详情」可切换 / 查看详细分析。</w:t>
      </w:r>
    </w:p>
    <w:p>
      <w:pPr>
        <w:pStyle w:val="2"/>
        <w:ind w:firstLine="500"/>
        <w:rPr>
          <w:rFonts w:ascii="仿宋" w:eastAsia="仿宋" w:hAnsi="仿宋" w:cs="微软雅黑"/>
          <w:b w:val="0"/>
          <w:bCs w:val="0"/>
          <w:sz w:val="22"/>
        </w:rPr>
      </w:pPr>
      <w:r>
        <w:rPr>
          <w:rFonts w:ascii="仿宋" w:eastAsia="仿宋" w:hAnsi="仿宋" w:cs="微软雅黑" w:hint="eastAsia"/>
          <w:b w:val="0"/>
          <w:bCs w:val="0"/>
          <w:sz w:val="22"/>
        </w:rPr>
        <w:t>热门岗位技能：查看气泡图，不同颜色代表「硬技能、软技能、理论技能、实操技能、新型技能」类型，气泡大小代表需求热度。</w:t>
      </w:r>
    </w:p>
    <w:p>
      <w:pPr>
        <w:pStyle w:val="2"/>
        <w:ind w:firstLine="500"/>
        <w:rPr>
          <w:rFonts w:ascii="仿宋" w:eastAsia="仿宋" w:hAnsi="仿宋" w:cs="微软雅黑"/>
          <w:b w:val="0"/>
          <w:bCs w:val="0"/>
          <w:sz w:val="22"/>
        </w:rPr>
      </w:pPr>
      <w:r>
        <w:rPr>
          <w:rFonts w:ascii="仿宋" w:eastAsia="仿宋" w:hAnsi="仿宋" w:cs="微软雅黑" w:hint="eastAsia"/>
          <w:b w:val="0"/>
          <w:bCs w:val="0"/>
          <w:sz w:val="22"/>
        </w:rPr>
        <w:t>各类岗位能力需求对比：右侧查看环形图，如 “人力资源专员” 岗位「硬技能占 77.7%、软技能占 22.3%」，“人力资源专员” 岗位「实操技能占 45.43%、理论技能占 54.57%」；可切换岗位类型查看对比。</w:t>
      </w:r>
    </w:p>
    <w:p>
      <w:pPr>
        <w:pStyle w:val="2"/>
        <w:ind w:firstLine="500"/>
        <w:rPr>
          <w:rFonts w:ascii="仿宋" w:eastAsia="仿宋" w:hAnsi="仿宋" w:cs="微软雅黑"/>
          <w:b w:val="0"/>
          <w:bCs w:val="0"/>
          <w:sz w:val="22"/>
        </w:rPr>
      </w:pPr>
      <w:r>
        <w:rPr>
          <w:rFonts w:ascii="仿宋" w:eastAsia="仿宋" w:hAnsi="仿宋" w:cs="微软雅黑" w:hint="eastAsia"/>
          <w:b w:val="0"/>
          <w:bCs w:val="0"/>
          <w:sz w:val="22"/>
        </w:rPr>
        <w:t>热门岗位类别：列表展示「岗位类别、在</w:t>
      </w:r>
      <w:proofErr w:type="gramStart"/>
      <w:r>
        <w:rPr>
          <w:rFonts w:ascii="仿宋" w:eastAsia="仿宋" w:hAnsi="仿宋" w:cs="微软雅黑" w:hint="eastAsia"/>
          <w:b w:val="0"/>
          <w:bCs w:val="0"/>
          <w:sz w:val="22"/>
        </w:rPr>
        <w:t>招岗位</w:t>
      </w:r>
      <w:proofErr w:type="gramEnd"/>
      <w:r>
        <w:rPr>
          <w:rFonts w:ascii="仿宋" w:eastAsia="仿宋" w:hAnsi="仿宋" w:cs="微软雅黑" w:hint="eastAsia"/>
          <w:b w:val="0"/>
          <w:bCs w:val="0"/>
          <w:sz w:val="22"/>
        </w:rPr>
        <w:t>数、在招人数」。</w:t>
      </w:r>
    </w:p>
    <w:p>
      <w:pPr>
        <w:pStyle w:val="2"/>
        <w:rPr>
          <w:rFonts w:ascii="仿宋" w:eastAsia="仿宋" w:hAnsi="仿宋" w:cs="微软雅黑"/>
          <w:b w:val="0"/>
          <w:bCs w:val="0"/>
          <w:sz w:val="22"/>
        </w:rPr>
      </w:pPr>
      <w:r>
        <w:rPr>
          <w:rFonts w:ascii="仿宋" w:eastAsia="仿宋" w:hAnsi="仿宋" w:cs="微软雅黑" w:hint="eastAsia"/>
          <w:b w:val="0"/>
          <w:bCs w:val="0"/>
          <w:sz w:val="22"/>
        </w:rPr>
        <w:t>（4）筛选与切换操作</w:t>
      </w:r>
    </w:p>
    <w:p>
      <w:pPr>
        <w:pStyle w:val="2"/>
        <w:ind w:firstLine="500"/>
        <w:rPr>
          <w:rFonts w:ascii="仿宋" w:eastAsia="仿宋" w:hAnsi="仿宋" w:cs="微软雅黑"/>
          <w:b w:val="0"/>
          <w:bCs w:val="0"/>
          <w:sz w:val="22"/>
        </w:rPr>
      </w:pPr>
      <w:r>
        <w:rPr>
          <w:rFonts w:ascii="仿宋" w:eastAsia="仿宋" w:hAnsi="仿宋" w:cs="微软雅黑" w:hint="eastAsia"/>
          <w:b w:val="0"/>
          <w:bCs w:val="0"/>
          <w:sz w:val="22"/>
        </w:rPr>
        <w:lastRenderedPageBreak/>
        <w:t>区域 / 产业筛选：页面右上角，通过「全部区域」下拉框选择特定区域（如山东、北京），「全部产业」下拉框选择特定产业，筛选后页面数据同步更新为所选范围的需求情况。</w:t>
      </w:r>
      <w:r>
        <w:rPr>
          <w:rFonts w:ascii="仿宋" w:eastAsia="仿宋" w:hAnsi="仿宋" w:cs="微软雅黑" w:hint="eastAsia"/>
          <w:b w:val="0"/>
          <w:bCs w:val="0"/>
          <w:noProof/>
          <w:sz w:val="22"/>
        </w:rPr>
        <w:drawing>
          <wp:inline distT="0" distB="0" distL="114300" distR="114300">
            <wp:extent cx="5711825" cy="3048000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500"/>
        <w:rPr>
          <w:rFonts w:ascii="仿宋" w:eastAsia="仿宋" w:hAnsi="仿宋" w:cs="微软雅黑"/>
          <w:b w:val="0"/>
          <w:bCs w:val="0"/>
          <w:sz w:val="22"/>
        </w:rPr>
      </w:pPr>
      <w:r>
        <w:rPr>
          <w:rFonts w:ascii="仿宋" w:eastAsia="仿宋" w:hAnsi="仿宋" w:cs="微软雅黑" w:hint="eastAsia"/>
          <w:b w:val="0"/>
          <w:bCs w:val="0"/>
          <w:sz w:val="22"/>
        </w:rPr>
        <w:t>数据源切换：页面上方中间位置，点击可切换数据源，如果选择某个专业群，右侧会显示一个下载按钮和选择专业的下拉框，点击下载按钮会显示弹框，点击弹框中的按钮会跳转到报告列表页面，可以预览和下载报告，选择专业筛选，页面数据同步更新为所选专业的需求情况。</w:t>
      </w:r>
    </w:p>
    <w:p>
      <w:r>
        <w:rPr>
          <w:rFonts w:hint="eastAsia"/>
          <w:noProof/>
        </w:rPr>
        <w:drawing>
          <wp:inline distT="0" distB="0" distL="114300" distR="114300">
            <wp:extent cx="5708015" cy="3073400"/>
            <wp:effectExtent l="0" t="0" r="6985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500"/>
        <w:rPr>
          <w:rFonts w:ascii="仿宋" w:eastAsia="仿宋" w:hAnsi="仿宋" w:cs="微软雅黑"/>
          <w:b w:val="0"/>
          <w:bCs w:val="0"/>
          <w:sz w:val="22"/>
        </w:rPr>
      </w:pPr>
      <w:r>
        <w:rPr>
          <w:rFonts w:ascii="仿宋" w:eastAsia="仿宋" w:hAnsi="仿宋" w:cs="微软雅黑" w:hint="eastAsia"/>
          <w:b w:val="0"/>
          <w:bCs w:val="0"/>
          <w:sz w:val="22"/>
        </w:rPr>
        <w:t>页面全屏：页面上方中间位置，点击可全屏展示页面</w:t>
      </w:r>
    </w:p>
    <w:p>
      <w:pPr>
        <w:pStyle w:val="2"/>
        <w:ind w:firstLine="500"/>
        <w:rPr>
          <w:rFonts w:ascii="仿宋" w:eastAsia="仿宋" w:hAnsi="仿宋" w:cs="微软雅黑"/>
          <w:b w:val="0"/>
          <w:bCs w:val="0"/>
          <w:sz w:val="22"/>
        </w:rPr>
      </w:pPr>
      <w:r>
        <w:rPr>
          <w:rFonts w:ascii="仿宋" w:eastAsia="仿宋" w:hAnsi="仿宋" w:cs="微软雅黑"/>
          <w:b w:val="0"/>
          <w:bCs w:val="0"/>
          <w:sz w:val="22"/>
        </w:rPr>
        <w:t>岗位能力需求页面如下：</w:t>
      </w:r>
    </w:p>
    <w:p>
      <w:r>
        <w:rPr>
          <w:rFonts w:hint="eastAsia"/>
          <w:noProof/>
        </w:rPr>
        <w:lastRenderedPageBreak/>
        <w:drawing>
          <wp:inline distT="0" distB="0" distL="114300" distR="114300">
            <wp:extent cx="5729605" cy="3108325"/>
            <wp:effectExtent l="0" t="0" r="4445" b="158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3.1.2 技能需求缺口预警模块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1．功能概述</w:t>
      </w:r>
    </w:p>
    <w:p>
      <w:pPr>
        <w:spacing w:line="300" w:lineRule="auto"/>
        <w:ind w:firstLine="50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kern w:val="2"/>
          <w:sz w:val="22"/>
          <w:lang w:bidi="ar"/>
        </w:rPr>
        <w:t>技能需求缺口预警模块以 “专业卡片” 形式展示专业名称、专业代码、相关产业等基础信息，并通过「需求变动」功能，深入揭示各专业技能供需的缺口趋势。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2．操作步骤</w:t>
      </w:r>
    </w:p>
    <w:p>
      <w:pPr>
        <w:spacing w:line="300" w:lineRule="auto"/>
        <w:ind w:firstLine="500"/>
        <w:rPr>
          <w:rFonts w:ascii="仿宋" w:eastAsia="仿宋" w:hAnsi="仿宋" w:cs="仿宋"/>
          <w:kern w:val="2"/>
          <w:sz w:val="22"/>
          <w:lang w:bidi="ar"/>
        </w:rPr>
      </w:pPr>
      <w:r>
        <w:rPr>
          <w:rFonts w:ascii="仿宋" w:eastAsia="仿宋" w:hAnsi="仿宋" w:cs="仿宋" w:hint="eastAsia"/>
          <w:kern w:val="2"/>
          <w:sz w:val="22"/>
          <w:lang w:bidi="ar"/>
        </w:rPr>
        <w:t>在专业卡片列表中，点击卡片上的「需求变动」按钮，进入该专业的技能需求缺口变化详情页。</w:t>
      </w:r>
    </w:p>
    <w:p>
      <w:pPr>
        <w:ind w:firstLine="500"/>
        <w:rPr>
          <w:rFonts w:ascii="等线" w:eastAsia="等线" w:hAnsi="等线" w:cs="Times New Roman"/>
          <w:kern w:val="2"/>
          <w:lang w:bidi="ar"/>
        </w:rPr>
      </w:pPr>
      <w:r>
        <w:rPr>
          <w:rFonts w:ascii="等线" w:eastAsia="等线" w:hAnsi="等线" w:cs="Times New Roman" w:hint="eastAsia"/>
          <w:noProof/>
          <w:kern w:val="2"/>
        </w:rPr>
        <w:drawing>
          <wp:inline distT="0" distB="0" distL="114300" distR="114300">
            <wp:extent cx="5718810" cy="2960370"/>
            <wp:effectExtent l="0" t="0" r="15240" b="1143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00"/>
        <w:rPr>
          <w:rFonts w:ascii="等线" w:eastAsia="等线" w:hAnsi="等线" w:cs="Times New Roman"/>
          <w:kern w:val="2"/>
          <w:lang w:bidi="ar"/>
        </w:rPr>
      </w:pPr>
    </w:p>
    <w:p>
      <w:pPr>
        <w:numPr>
          <w:ilvl w:val="0"/>
          <w:numId w:val="12"/>
        </w:numPr>
        <w:spacing w:line="300" w:lineRule="auto"/>
        <w:rPr>
          <w:rFonts w:ascii="仿宋" w:eastAsia="仿宋" w:hAnsi="仿宋" w:cs="仿宋"/>
          <w:kern w:val="2"/>
          <w:sz w:val="22"/>
          <w:lang w:bidi="ar"/>
        </w:rPr>
      </w:pPr>
      <w:r>
        <w:rPr>
          <w:rFonts w:ascii="仿宋" w:eastAsia="仿宋" w:hAnsi="仿宋" w:cs="仿宋"/>
          <w:kern w:val="2"/>
          <w:sz w:val="22"/>
          <w:lang w:bidi="ar"/>
        </w:rPr>
        <w:t>查看 “岗位” 变化分析：</w:t>
      </w:r>
      <w:r>
        <w:rPr>
          <w:rFonts w:ascii="仿宋" w:eastAsia="仿宋" w:hAnsi="仿宋" w:cs="仿宋"/>
          <w:kern w:val="2"/>
          <w:sz w:val="22"/>
          <w:lang w:bidi="ar"/>
        </w:rPr>
        <w:br/>
      </w:r>
      <w:r>
        <w:rPr>
          <w:rFonts w:ascii="仿宋" w:eastAsia="仿宋" w:hAnsi="仿宋" w:cs="仿宋"/>
          <w:kern w:val="2"/>
          <w:sz w:val="22"/>
          <w:lang w:bidi="ar"/>
        </w:rPr>
        <w:lastRenderedPageBreak/>
        <w:t>详情页默认或通过 “岗位” 标签切换后，可</w:t>
      </w:r>
      <w:proofErr w:type="gramStart"/>
      <w:r>
        <w:rPr>
          <w:rFonts w:ascii="仿宋" w:eastAsia="仿宋" w:hAnsi="仿宋" w:cs="仿宋"/>
          <w:kern w:val="2"/>
          <w:sz w:val="22"/>
          <w:lang w:bidi="ar"/>
        </w:rPr>
        <w:t>查看近</w:t>
      </w:r>
      <w:proofErr w:type="gramEnd"/>
      <w:r>
        <w:rPr>
          <w:rFonts w:ascii="仿宋" w:eastAsia="仿宋" w:hAnsi="仿宋" w:cs="仿宋"/>
          <w:kern w:val="2"/>
          <w:sz w:val="22"/>
          <w:lang w:bidi="ar"/>
        </w:rPr>
        <w:t>六月的排名。显示岗位在招数量，还可对比不同时期变化。</w:t>
      </w:r>
    </w:p>
    <w:p>
      <w:pPr>
        <w:spacing w:line="300" w:lineRule="auto"/>
        <w:rPr>
          <w:rFonts w:ascii="仿宋" w:eastAsia="仿宋" w:hAnsi="仿宋" w:cs="仿宋"/>
          <w:kern w:val="2"/>
          <w:sz w:val="22"/>
          <w:lang w:bidi="ar"/>
        </w:rPr>
      </w:pPr>
    </w:p>
    <w:p>
      <w:pPr>
        <w:rPr>
          <w:rFonts w:ascii="等线" w:eastAsia="等线" w:hAnsi="等线" w:cs="Times New Roman"/>
          <w:kern w:val="2"/>
          <w:lang w:bidi="ar"/>
        </w:rPr>
      </w:pPr>
      <w:r>
        <w:rPr>
          <w:rFonts w:ascii="等线" w:eastAsia="等线" w:hAnsi="等线" w:cs="Times New Roman" w:hint="eastAsia"/>
          <w:noProof/>
          <w:kern w:val="2"/>
        </w:rPr>
        <w:drawing>
          <wp:inline distT="0" distB="0" distL="114300" distR="114300">
            <wp:extent cx="5721350" cy="2941320"/>
            <wp:effectExtent l="0" t="0" r="12700" b="1143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仿宋" w:eastAsia="仿宋" w:hAnsi="仿宋" w:cs="仿宋"/>
          <w:kern w:val="2"/>
          <w:sz w:val="22"/>
          <w:lang w:bidi="ar"/>
        </w:rPr>
      </w:pPr>
      <w:r>
        <w:rPr>
          <w:rFonts w:ascii="仿宋" w:eastAsia="仿宋" w:hAnsi="仿宋" w:cs="仿宋" w:hint="eastAsia"/>
          <w:kern w:val="2"/>
          <w:sz w:val="22"/>
          <w:lang w:bidi="ar"/>
        </w:rPr>
        <w:t>（2）</w:t>
      </w:r>
      <w:r>
        <w:rPr>
          <w:rFonts w:ascii="仿宋" w:eastAsia="仿宋" w:hAnsi="仿宋" w:cs="仿宋"/>
          <w:kern w:val="2"/>
          <w:sz w:val="22"/>
          <w:lang w:bidi="ar"/>
        </w:rPr>
        <w:t>查看 “技能” 变化分析：</w:t>
      </w:r>
      <w:r>
        <w:rPr>
          <w:rFonts w:ascii="仿宋" w:eastAsia="仿宋" w:hAnsi="仿宋" w:cs="仿宋"/>
          <w:kern w:val="2"/>
          <w:sz w:val="22"/>
          <w:lang w:bidi="ar"/>
        </w:rPr>
        <w:br/>
        <w:t>通过 “技能”或者鼠标放入技能词上面，会在下方显示各种技能点，点击后，展示技能的趋势方向（上升 / 下降）、数量变化</w:t>
      </w:r>
    </w:p>
    <w:p>
      <w:pPr>
        <w:ind w:leftChars="100" w:left="210"/>
        <w:rPr>
          <w:rFonts w:ascii="等线" w:eastAsia="等线" w:hAnsi="等线" w:cs="Times New Roman"/>
          <w:kern w:val="2"/>
          <w:lang w:bidi="ar"/>
        </w:rPr>
      </w:pPr>
      <w:r>
        <w:rPr>
          <w:rFonts w:ascii="等线" w:eastAsia="等线" w:hAnsi="等线" w:cs="Times New Roman" w:hint="eastAsia"/>
          <w:noProof/>
          <w:kern w:val="2"/>
        </w:rPr>
        <w:drawing>
          <wp:inline distT="0" distB="0" distL="114300" distR="114300">
            <wp:extent cx="5726430" cy="3094355"/>
            <wp:effectExtent l="0" t="0" r="7620" b="1079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Chars="100" w:left="210"/>
        <w:rPr>
          <w:rFonts w:ascii="等线" w:eastAsia="等线" w:hAnsi="等线" w:cs="Times New Roman"/>
          <w:kern w:val="2"/>
          <w:lang w:bidi="ar"/>
        </w:rPr>
      </w:pPr>
    </w:p>
    <w:p>
      <w:pPr>
        <w:spacing w:line="300" w:lineRule="auto"/>
        <w:ind w:leftChars="100" w:left="21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kern w:val="2"/>
          <w:sz w:val="22"/>
          <w:lang w:bidi="ar"/>
        </w:rPr>
        <w:t>(3)</w:t>
      </w:r>
      <w:r>
        <w:rPr>
          <w:rFonts w:ascii="仿宋" w:eastAsia="仿宋" w:hAnsi="仿宋" w:cs="仿宋"/>
          <w:color w:val="000000"/>
          <w:sz w:val="22"/>
          <w:lang w:bidi="ar"/>
        </w:rPr>
        <w:t xml:space="preserve"> </w:t>
      </w:r>
      <w:r>
        <w:rPr>
          <w:rFonts w:ascii="仿宋" w:eastAsia="仿宋" w:hAnsi="仿宋" w:cs="仿宋"/>
          <w:kern w:val="2"/>
          <w:sz w:val="22"/>
          <w:lang w:bidi="ar"/>
        </w:rPr>
        <w:t>技能变化分析</w:t>
      </w:r>
    </w:p>
    <w:p>
      <w:pPr>
        <w:spacing w:line="300" w:lineRule="auto"/>
        <w:ind w:leftChars="100" w:left="210"/>
        <w:rPr>
          <w:rFonts w:ascii="仿宋" w:eastAsia="仿宋" w:hAnsi="仿宋" w:cs="仿宋"/>
          <w:kern w:val="2"/>
          <w:sz w:val="22"/>
          <w:lang w:bidi="ar"/>
        </w:rPr>
      </w:pPr>
      <w:r>
        <w:rPr>
          <w:rFonts w:ascii="仿宋" w:eastAsia="仿宋" w:hAnsi="仿宋" w:cs="仿宋"/>
          <w:kern w:val="2"/>
          <w:sz w:val="22"/>
          <w:lang w:bidi="ar"/>
        </w:rPr>
        <w:t>列表中详细说明（如 “沟通协调” 趋势为 “下降”，并解读缺口变化的原因与分析时间），深入解读技能缺口的动态逻辑。</w:t>
      </w:r>
    </w:p>
    <w:p>
      <w:pPr>
        <w:spacing w:line="300" w:lineRule="auto"/>
        <w:ind w:leftChars="100" w:left="210"/>
        <w:rPr>
          <w:rFonts w:ascii="仿宋" w:eastAsia="仿宋" w:hAnsi="仿宋" w:cs="仿宋"/>
          <w:kern w:val="2"/>
          <w:sz w:val="22"/>
          <w:lang w:bidi="ar"/>
        </w:rPr>
      </w:pPr>
    </w:p>
    <w:p>
      <w:r>
        <w:rPr>
          <w:rFonts w:hint="eastAsia"/>
          <w:noProof/>
        </w:rPr>
        <w:lastRenderedPageBreak/>
        <w:drawing>
          <wp:inline distT="0" distB="0" distL="114300" distR="114300">
            <wp:extent cx="5715635" cy="2932430"/>
            <wp:effectExtent l="0" t="0" r="18415" b="12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</w:rPr>
        <w:t>3.1.3 产业分析报告模块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1.功能概述与使用场景</w:t>
      </w:r>
    </w:p>
    <w:p>
      <w:pPr>
        <w:spacing w:line="300" w:lineRule="auto"/>
        <w:ind w:firstLine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 w:hint="eastAsia"/>
          <w:kern w:val="2"/>
          <w:sz w:val="22"/>
          <w:lang w:bidi="ar"/>
        </w:rPr>
        <w:t>产业分析报告模块是用于集中管理不同区域、产业的分析报告，支持通过 AI 智能生成报告，并对报告进行查询、进度刷新、删除等操作。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2. 操作步骤</w:t>
      </w:r>
    </w:p>
    <w:p>
      <w:pPr>
        <w:spacing w:line="300" w:lineRule="auto"/>
        <w:rPr>
          <w:rFonts w:ascii="仿宋" w:eastAsia="仿宋" w:hAnsi="仿宋" w:cs="仿宋"/>
          <w:b/>
          <w:bCs/>
          <w:sz w:val="22"/>
        </w:rPr>
      </w:pPr>
      <w:r>
        <w:rPr>
          <w:rFonts w:ascii="仿宋" w:eastAsia="仿宋" w:hAnsi="仿宋" w:cs="仿宋" w:hint="eastAsia"/>
          <w:kern w:val="2"/>
          <w:sz w:val="22"/>
          <w:lang w:bidi="ar"/>
        </w:rPr>
        <w:t>（1）查询产业分析报告</w:t>
      </w:r>
    </w:p>
    <w:p>
      <w:pPr>
        <w:spacing w:line="300" w:lineRule="auto"/>
        <w:ind w:firstLine="420"/>
        <w:rPr>
          <w:rFonts w:ascii="仿宋" w:eastAsia="仿宋" w:hAnsi="仿宋" w:cs="仿宋"/>
          <w:kern w:val="2"/>
          <w:sz w:val="22"/>
          <w:lang w:bidi="ar"/>
        </w:rPr>
      </w:pPr>
      <w:r>
        <w:rPr>
          <w:rFonts w:ascii="仿宋" w:eastAsia="仿宋" w:hAnsi="仿宋" w:cs="仿宋" w:hint="eastAsia"/>
          <w:kern w:val="2"/>
          <w:sz w:val="22"/>
          <w:lang w:bidi="ar"/>
        </w:rPr>
        <w:t>在页面上方 “产业报告名称” 输入框中，输入需查询的报告名称（如 “装配化产业分析报告”）。</w:t>
      </w:r>
    </w:p>
    <w:p>
      <w:pPr>
        <w:spacing w:line="300" w:lineRule="auto"/>
        <w:ind w:firstLine="420"/>
        <w:rPr>
          <w:rFonts w:ascii="仿宋" w:eastAsia="仿宋" w:hAnsi="仿宋" w:cs="仿宋"/>
          <w:kern w:val="2"/>
          <w:sz w:val="22"/>
          <w:lang w:bidi="ar"/>
        </w:rPr>
      </w:pPr>
      <w:r>
        <w:rPr>
          <w:rFonts w:hint="eastAsia"/>
          <w:noProof/>
        </w:rPr>
        <w:drawing>
          <wp:inline distT="0" distB="0" distL="114300" distR="114300">
            <wp:extent cx="5721350" cy="2659380"/>
            <wp:effectExtent l="0" t="0" r="12700" b="762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solistparagraph0"/>
        <w:widowControl/>
        <w:spacing w:line="300" w:lineRule="auto"/>
        <w:ind w:left="0"/>
        <w:rPr>
          <w:rFonts w:ascii="仿宋" w:eastAsia="仿宋" w:hAnsi="仿宋" w:cs="仿宋" w:hint="default"/>
          <w:b/>
          <w:bCs/>
          <w:sz w:val="22"/>
        </w:rPr>
      </w:pPr>
      <w:r>
        <w:rPr>
          <w:rFonts w:ascii="仿宋" w:eastAsia="仿宋" w:hAnsi="仿宋" w:cs="仿宋"/>
          <w:sz w:val="22"/>
        </w:rPr>
        <w:t>（2）新增产业分析报告</w:t>
      </w:r>
    </w:p>
    <w:p>
      <w:pPr>
        <w:spacing w:line="300" w:lineRule="auto"/>
        <w:ind w:firstLine="420"/>
        <w:rPr>
          <w:rFonts w:ascii="仿宋" w:eastAsia="仿宋" w:hAnsi="仿宋" w:cs="仿宋"/>
          <w:kern w:val="2"/>
          <w:sz w:val="22"/>
          <w:lang w:bidi="ar"/>
        </w:rPr>
      </w:pPr>
      <w:r>
        <w:rPr>
          <w:rFonts w:ascii="仿宋" w:eastAsia="仿宋" w:hAnsi="仿宋" w:cs="仿宋" w:hint="eastAsia"/>
          <w:kern w:val="2"/>
          <w:sz w:val="22"/>
          <w:lang w:bidi="ar"/>
        </w:rPr>
        <w:t>点击页面上方「新增」按钮，弹出 “AI 智能生成产业分析报告” 对话框。填写必</w:t>
      </w:r>
      <w:proofErr w:type="gramStart"/>
      <w:r>
        <w:rPr>
          <w:rFonts w:ascii="仿宋" w:eastAsia="仿宋" w:hAnsi="仿宋" w:cs="仿宋" w:hint="eastAsia"/>
          <w:kern w:val="2"/>
          <w:sz w:val="22"/>
          <w:lang w:bidi="ar"/>
        </w:rPr>
        <w:t>填服务</w:t>
      </w:r>
      <w:proofErr w:type="gramEnd"/>
      <w:r>
        <w:rPr>
          <w:rFonts w:ascii="仿宋" w:eastAsia="仿宋" w:hAnsi="仿宋" w:cs="仿宋" w:hint="eastAsia"/>
          <w:kern w:val="2"/>
          <w:sz w:val="22"/>
          <w:lang w:bidi="ar"/>
        </w:rPr>
        <w:t>区域和服务产业。字段填写完整后，点击「保存」按钮提交报告生成任务；若</w:t>
      </w:r>
      <w:proofErr w:type="gramStart"/>
      <w:r>
        <w:rPr>
          <w:rFonts w:ascii="仿宋" w:eastAsia="仿宋" w:hAnsi="仿宋" w:cs="仿宋" w:hint="eastAsia"/>
          <w:kern w:val="2"/>
          <w:sz w:val="22"/>
          <w:lang w:bidi="ar"/>
        </w:rPr>
        <w:t>需放弃</w:t>
      </w:r>
      <w:proofErr w:type="gramEnd"/>
      <w:r>
        <w:rPr>
          <w:rFonts w:ascii="仿宋" w:eastAsia="仿宋" w:hAnsi="仿宋" w:cs="仿宋" w:hint="eastAsia"/>
          <w:kern w:val="2"/>
          <w:sz w:val="22"/>
          <w:lang w:bidi="ar"/>
        </w:rPr>
        <w:t>新增，</w:t>
      </w:r>
      <w:r>
        <w:rPr>
          <w:rFonts w:ascii="仿宋" w:eastAsia="仿宋" w:hAnsi="仿宋" w:cs="仿宋" w:hint="eastAsia"/>
          <w:kern w:val="2"/>
          <w:sz w:val="22"/>
          <w:lang w:bidi="ar"/>
        </w:rPr>
        <w:lastRenderedPageBreak/>
        <w:t>点击「关闭」按钮即可。</w:t>
      </w:r>
    </w:p>
    <w:p>
      <w:pPr>
        <w:spacing w:line="300" w:lineRule="auto"/>
        <w:ind w:firstLine="420"/>
        <w:rPr>
          <w:rFonts w:ascii="仿宋" w:eastAsia="仿宋" w:hAnsi="仿宋" w:cs="仿宋"/>
          <w:kern w:val="2"/>
          <w:sz w:val="22"/>
          <w:lang w:bidi="ar"/>
        </w:rPr>
      </w:pPr>
      <w:r>
        <w:rPr>
          <w:rFonts w:hint="eastAsia"/>
          <w:noProof/>
        </w:rPr>
        <w:drawing>
          <wp:inline distT="0" distB="0" distL="114300" distR="114300">
            <wp:extent cx="5724525" cy="2572385"/>
            <wp:effectExtent l="0" t="0" r="9525" b="1841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 w:hint="eastAsia"/>
          <w:kern w:val="2"/>
          <w:sz w:val="22"/>
          <w:lang w:bidi="ar"/>
        </w:rPr>
        <w:t>（3）刷新报告进度</w:t>
      </w:r>
    </w:p>
    <w:p>
      <w:pPr>
        <w:spacing w:line="300" w:lineRule="auto"/>
        <w:ind w:firstLine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 w:hint="eastAsia"/>
          <w:kern w:val="2"/>
          <w:sz w:val="22"/>
          <w:lang w:bidi="ar"/>
        </w:rPr>
        <w:t>点击页面上方「刷新进度」按钮，系统将自动同步所有报告的最新状态。</w:t>
      </w:r>
    </w:p>
    <w:p>
      <w:pPr>
        <w:spacing w:line="300" w:lineRule="auto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 w:hint="eastAsia"/>
          <w:kern w:val="2"/>
          <w:sz w:val="22"/>
          <w:lang w:bidi="ar"/>
        </w:rPr>
        <w:t>（4）删除产业分析报告</w:t>
      </w:r>
    </w:p>
    <w:p>
      <w:pPr>
        <w:spacing w:line="300" w:lineRule="auto"/>
        <w:ind w:firstLine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 w:hint="eastAsia"/>
          <w:kern w:val="2"/>
          <w:sz w:val="22"/>
          <w:lang w:bidi="ar"/>
        </w:rPr>
        <w:t>在报告列表中，定位到需删除的报告所在行。点击该行 “操作” 列下的「删除」按钮，弹出 “确认删除” 对话框。点击「确定」按钮。</w:t>
      </w:r>
    </w:p>
    <w:p>
      <w:pPr>
        <w:spacing w:line="300" w:lineRule="auto"/>
        <w:ind w:left="440" w:hangingChars="200" w:hanging="44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 w:hint="eastAsia"/>
          <w:kern w:val="2"/>
          <w:sz w:val="22"/>
          <w:lang w:bidi="ar"/>
        </w:rPr>
        <w:t>（5）预览报告详情</w:t>
      </w:r>
      <w:r>
        <w:rPr>
          <w:rFonts w:ascii="仿宋" w:eastAsia="仿宋" w:hAnsi="仿宋" w:cs="仿宋" w:hint="eastAsia"/>
          <w:kern w:val="2"/>
          <w:sz w:val="22"/>
          <w:lang w:bidi="ar"/>
        </w:rPr>
        <w:br/>
        <w:t>在报告列表中，点击蓝色的报告名称链接（如 “装配化产业分析报告”），即可进入报告详情页，查看完整的分析内容。</w:t>
      </w:r>
    </w:p>
    <w:p/>
    <w:p>
      <w:r>
        <w:rPr>
          <w:rFonts w:hint="eastAsia"/>
          <w:noProof/>
        </w:rPr>
        <w:drawing>
          <wp:inline distT="0" distB="0" distL="114300" distR="114300">
            <wp:extent cx="5730875" cy="3140710"/>
            <wp:effectExtent l="0" t="0" r="3175" b="254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kern w:val="2"/>
          <w:lang w:bidi="ar"/>
        </w:rPr>
        <w:t>3.1.4 岗位类别图谱模块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1. 功能概述</w:t>
      </w:r>
    </w:p>
    <w:p>
      <w:pPr>
        <w:spacing w:line="300" w:lineRule="auto"/>
        <w:ind w:firstLine="420"/>
        <w:rPr>
          <w:rFonts w:ascii="微软雅黑" w:eastAsia="微软雅黑" w:hAnsi="微软雅黑" w:cs="微软雅黑"/>
          <w:sz w:val="22"/>
        </w:rPr>
      </w:pPr>
      <w:r>
        <w:rPr>
          <w:rFonts w:ascii="仿宋" w:eastAsia="仿宋" w:hAnsi="仿宋" w:cs="仿宋" w:hint="eastAsia"/>
          <w:kern w:val="2"/>
          <w:sz w:val="22"/>
          <w:lang w:bidi="ar"/>
        </w:rPr>
        <w:lastRenderedPageBreak/>
        <w:t>通过可视化图谱、技能词海、桑基图等形式，展示不同岗位类别的典型工作任务与技能分布（实操技能、新兴技能、理论技能、硬技能、软技能），清晰呈现 “岗位类别 - 典型工作任务 - 技能点” 的关联逻辑。</w:t>
      </w:r>
    </w:p>
    <w:p>
      <w:pPr>
        <w:pStyle w:val="Style13"/>
        <w:spacing w:line="30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2. 操作步骤</w:t>
      </w:r>
    </w:p>
    <w:p>
      <w:pPr>
        <w:spacing w:line="300" w:lineRule="auto"/>
        <w:ind w:leftChars="50" w:left="435" w:hangingChars="150" w:hanging="330"/>
        <w:rPr>
          <w:rFonts w:ascii="仿宋" w:eastAsia="仿宋" w:hAnsi="仿宋" w:cs="仿宋"/>
          <w:kern w:val="2"/>
          <w:sz w:val="22"/>
          <w:lang w:bidi="ar"/>
        </w:rPr>
      </w:pPr>
      <w:r>
        <w:rPr>
          <w:rFonts w:ascii="仿宋" w:eastAsia="仿宋" w:hAnsi="仿宋" w:cs="仿宋" w:hint="eastAsia"/>
          <w:kern w:val="2"/>
          <w:sz w:val="22"/>
          <w:lang w:bidi="ar"/>
        </w:rPr>
        <w:t>(1)入模块并选择专业群</w:t>
      </w:r>
      <w:r>
        <w:rPr>
          <w:rFonts w:ascii="仿宋" w:eastAsia="仿宋" w:hAnsi="仿宋" w:cs="仿宋" w:hint="eastAsia"/>
          <w:kern w:val="2"/>
          <w:sz w:val="22"/>
          <w:lang w:bidi="ar"/>
        </w:rPr>
        <w:br/>
        <w:t>在页面左侧 “岗位类别” 区域，通过专业群下拉框（如 “智慧城市管理的专业群”）选择目标专业群，筛选出该专业群下的岗位类别列表（如 “建筑工程师”“环保工程师”“物业管理员” 等）。</w:t>
      </w:r>
    </w:p>
    <w:p>
      <w:pPr>
        <w:spacing w:line="300" w:lineRule="auto"/>
        <w:ind w:left="440" w:hangingChars="200" w:hanging="44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 w:hint="eastAsia"/>
          <w:kern w:val="2"/>
          <w:sz w:val="22"/>
          <w:lang w:bidi="ar"/>
        </w:rPr>
        <w:t>（2）选择岗位类别并查看典型工作任务与技能分布</w:t>
      </w:r>
    </w:p>
    <w:p>
      <w:pPr>
        <w:spacing w:line="300" w:lineRule="auto"/>
        <w:ind w:firstLine="420"/>
        <w:rPr>
          <w:rFonts w:ascii="仿宋" w:eastAsia="仿宋" w:hAnsi="仿宋" w:cs="仿宋"/>
          <w:kern w:val="2"/>
          <w:sz w:val="22"/>
          <w:lang w:bidi="ar"/>
        </w:rPr>
      </w:pPr>
      <w:r>
        <w:rPr>
          <w:rFonts w:ascii="仿宋" w:eastAsia="仿宋" w:hAnsi="仿宋" w:cs="仿宋" w:hint="eastAsia"/>
          <w:kern w:val="2"/>
          <w:sz w:val="22"/>
          <w:lang w:bidi="ar"/>
        </w:rPr>
        <w:t>在左侧岗位类别列表中，点击目标岗位（如 “建筑工程师”）。右侧界面将展示</w:t>
      </w:r>
      <w:proofErr w:type="gramStart"/>
      <w:r>
        <w:rPr>
          <w:rFonts w:ascii="仿宋" w:eastAsia="仿宋" w:hAnsi="仿宋" w:cs="仿宋" w:hint="eastAsia"/>
          <w:kern w:val="2"/>
          <w:sz w:val="22"/>
          <w:lang w:bidi="ar"/>
        </w:rPr>
        <w:t>该岗位</w:t>
      </w:r>
      <w:proofErr w:type="gramEnd"/>
      <w:r>
        <w:rPr>
          <w:rFonts w:ascii="仿宋" w:eastAsia="仿宋" w:hAnsi="仿宋" w:cs="仿宋" w:hint="eastAsia"/>
          <w:kern w:val="2"/>
          <w:sz w:val="22"/>
          <w:lang w:bidi="ar"/>
        </w:rPr>
        <w:t>的典型工作任务卡片，每个卡片标注了任务对应的「实操技能、新兴技能、理论技能、硬技能、软技能」数量。</w:t>
      </w:r>
    </w:p>
    <w:p>
      <w:pPr>
        <w:spacing w:line="300" w:lineRule="auto"/>
        <w:ind w:firstLine="420"/>
        <w:rPr>
          <w:rFonts w:ascii="仿宋" w:eastAsia="仿宋" w:hAnsi="仿宋" w:cs="仿宋"/>
          <w:kern w:val="2"/>
          <w:sz w:val="22"/>
          <w:lang w:bidi="ar"/>
        </w:rPr>
      </w:pPr>
      <w:r>
        <w:rPr>
          <w:rFonts w:ascii="仿宋" w:eastAsia="仿宋" w:hAnsi="仿宋" w:cs="仿宋" w:hint="eastAsia"/>
          <w:noProof/>
          <w:kern w:val="2"/>
          <w:sz w:val="22"/>
        </w:rPr>
        <w:drawing>
          <wp:inline distT="0" distB="0" distL="114300" distR="114300">
            <wp:extent cx="5719445" cy="3169285"/>
            <wp:effectExtent l="0" t="0" r="14605" b="1206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 w:hint="eastAsia"/>
          <w:kern w:val="2"/>
          <w:sz w:val="22"/>
          <w:lang w:bidi="ar"/>
        </w:rPr>
        <w:t>（3）查看技能词海</w:t>
      </w:r>
    </w:p>
    <w:p>
      <w:pPr>
        <w:spacing w:line="300" w:lineRule="auto"/>
        <w:ind w:firstLine="420"/>
        <w:rPr>
          <w:rFonts w:ascii="仿宋" w:eastAsia="仿宋" w:hAnsi="仿宋" w:cs="仿宋"/>
          <w:kern w:val="2"/>
          <w:sz w:val="22"/>
          <w:lang w:bidi="ar"/>
        </w:rPr>
      </w:pPr>
      <w:r>
        <w:rPr>
          <w:rFonts w:ascii="仿宋" w:eastAsia="仿宋" w:hAnsi="仿宋" w:cs="仿宋" w:hint="eastAsia"/>
          <w:kern w:val="2"/>
          <w:sz w:val="22"/>
          <w:lang w:bidi="ar"/>
        </w:rPr>
        <w:t>在典型工作任务卡片中，点击任务右上角的「技能词海」按钮。系统将跳转页面，展示该任务的技能关联图谱：不同颜色节点代表技能类型（粉色为实操技能、紫色为新兴技能、绿色为理论技能、蓝色为硬技能、黄色为软技能）。</w:t>
      </w:r>
    </w:p>
    <w:p>
      <w:pPr>
        <w:spacing w:line="300" w:lineRule="auto"/>
        <w:ind w:firstLine="420"/>
        <w:rPr>
          <w:rFonts w:ascii="仿宋" w:eastAsia="仿宋" w:hAnsi="仿宋" w:cs="仿宋"/>
          <w:kern w:val="2"/>
          <w:sz w:val="22"/>
          <w:lang w:bidi="ar"/>
        </w:rPr>
      </w:pPr>
      <w:r>
        <w:rPr>
          <w:rFonts w:ascii="仿宋" w:eastAsia="仿宋" w:hAnsi="仿宋" w:cs="仿宋" w:hint="eastAsia"/>
          <w:noProof/>
          <w:kern w:val="2"/>
          <w:sz w:val="22"/>
        </w:rPr>
        <w:lastRenderedPageBreak/>
        <w:drawing>
          <wp:inline distT="0" distB="0" distL="114300" distR="114300">
            <wp:extent cx="5723890" cy="3232785"/>
            <wp:effectExtent l="0" t="0" r="10160" b="571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 w:hint="eastAsia"/>
          <w:kern w:val="2"/>
          <w:sz w:val="22"/>
          <w:lang w:bidi="ar"/>
        </w:rPr>
        <w:t xml:space="preserve">（4）切换 “岗位类别桑基图” </w:t>
      </w:r>
    </w:p>
    <w:p>
      <w:pPr>
        <w:spacing w:line="300" w:lineRule="auto"/>
        <w:rPr>
          <w:rFonts w:ascii="仿宋" w:eastAsia="仿宋" w:hAnsi="仿宋" w:cs="仿宋"/>
          <w:kern w:val="2"/>
          <w:sz w:val="22"/>
          <w:lang w:bidi="ar"/>
        </w:rPr>
      </w:pPr>
      <w:r>
        <w:rPr>
          <w:rFonts w:ascii="仿宋" w:eastAsia="仿宋" w:hAnsi="仿宋" w:cs="仿宋" w:hint="eastAsia"/>
          <w:kern w:val="2"/>
          <w:sz w:val="22"/>
          <w:lang w:bidi="ar"/>
        </w:rPr>
        <w:t>在右侧主界面，点击「岗位类别桑基图」标签，切换至桑基图视图。桑基图通过流线的颜色与宽度，展示 “岗位类别（蓝色）→典型工作任务（粉色）→技能点（青色）→技能类型（橙色）” 的关系。</w:t>
      </w:r>
    </w:p>
    <w:p>
      <w:pPr>
        <w:spacing w:line="300" w:lineRule="auto"/>
        <w:rPr>
          <w:rFonts w:ascii="仿宋" w:eastAsia="仿宋" w:hAnsi="仿宋" w:cs="仿宋"/>
          <w:kern w:val="2"/>
          <w:sz w:val="22"/>
          <w:lang w:bidi="ar"/>
        </w:rPr>
      </w:pPr>
      <w:r>
        <w:rPr>
          <w:rFonts w:ascii="仿宋" w:eastAsia="仿宋" w:hAnsi="仿宋" w:cs="仿宋" w:hint="eastAsia"/>
          <w:noProof/>
          <w:kern w:val="2"/>
          <w:sz w:val="22"/>
        </w:rPr>
        <w:drawing>
          <wp:inline distT="0" distB="0" distL="114300" distR="114300">
            <wp:extent cx="5723255" cy="3073400"/>
            <wp:effectExtent l="0" t="0" r="10795" b="1270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3.2 人才培养服务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3.2.1 专业探索</w:t>
      </w:r>
    </w:p>
    <w:p>
      <w:pPr>
        <w:pStyle w:val="Style13"/>
        <w:rPr>
          <w:rFonts w:ascii="仿宋" w:eastAsia="仿宋" w:hAnsi="仿宋" w:cs="仿宋"/>
          <w:color w:val="000000"/>
          <w:shd w:val="clear" w:color="auto" w:fill="FFFFFF"/>
        </w:rPr>
      </w:pPr>
      <w:r>
        <w:rPr>
          <w:rFonts w:ascii="仿宋" w:eastAsia="仿宋" w:hAnsi="仿宋" w:cs="仿宋"/>
          <w:color w:val="000000"/>
        </w:rPr>
        <w:t>点击左侧菜单中的</w:t>
      </w:r>
      <w:r>
        <w:rPr>
          <w:rFonts w:ascii="仿宋" w:eastAsia="仿宋" w:hAnsi="仿宋" w:cs="仿宋" w:hint="eastAsia"/>
          <w:color w:val="000000"/>
        </w:rPr>
        <w:t>人才培养服务→专业探索</w:t>
      </w:r>
      <w:r>
        <w:rPr>
          <w:rFonts w:ascii="仿宋" w:eastAsia="仿宋" w:hAnsi="仿宋" w:cs="仿宋"/>
          <w:color w:val="000000"/>
        </w:rPr>
        <w:t>，选择专业点击</w:t>
      </w:r>
      <w:r>
        <w:rPr>
          <w:rFonts w:ascii="仿宋" w:eastAsia="仿宋" w:hAnsi="仿宋" w:cs="仿宋" w:hint="eastAsia"/>
          <w:color w:val="000000"/>
        </w:rPr>
        <w:t>“探索”</w:t>
      </w:r>
      <w:r>
        <w:rPr>
          <w:rFonts w:ascii="仿宋" w:eastAsia="仿宋" w:hAnsi="仿宋" w:cs="仿宋"/>
          <w:color w:val="000000"/>
        </w:rPr>
        <w:t>按钮</w:t>
      </w:r>
      <w:r>
        <w:rPr>
          <w:rFonts w:ascii="仿宋" w:eastAsia="仿宋" w:hAnsi="仿宋" w:cs="仿宋" w:hint="eastAsia"/>
          <w:color w:val="000000"/>
        </w:rPr>
        <w:t>进入专业探索页面。</w:t>
      </w:r>
    </w:p>
    <w:p>
      <w:pPr>
        <w:pStyle w:val="Style13"/>
        <w:rPr>
          <w:rFonts w:ascii="仿宋" w:eastAsia="仿宋" w:hAnsi="仿宋" w:cs="仿宋"/>
          <w:color w:val="000000"/>
          <w:shd w:val="clear" w:color="auto" w:fill="FFFFFF"/>
        </w:rPr>
      </w:pPr>
      <w:r>
        <w:rPr>
          <w:rFonts w:ascii="仿宋" w:eastAsia="仿宋" w:hAnsi="仿宋" w:cs="仿宋" w:hint="eastAsia"/>
          <w:noProof/>
          <w:color w:val="000000"/>
          <w:shd w:val="clear" w:color="auto" w:fill="FFFFFF"/>
        </w:rPr>
        <w:lastRenderedPageBreak/>
        <w:drawing>
          <wp:inline distT="0" distB="0" distL="114300" distR="114300">
            <wp:extent cx="5730875" cy="2640330"/>
            <wp:effectExtent l="0" t="0" r="3175" b="762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rPr>
          <w:rFonts w:ascii="仿宋" w:eastAsia="仿宋" w:hAnsi="仿宋" w:cs="仿宋"/>
          <w:color w:val="000000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hd w:val="clear" w:color="auto" w:fill="FFFFFF"/>
        </w:rPr>
        <w:t>（1）查看专业详细信息</w:t>
      </w:r>
    </w:p>
    <w:p>
      <w:pPr>
        <w:pStyle w:val="Style13"/>
        <w:rPr>
          <w:rFonts w:ascii="仿宋" w:eastAsia="仿宋" w:hAnsi="仿宋" w:cs="仿宋"/>
          <w:color w:val="000000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hd w:val="clear" w:color="auto" w:fill="FFFFFF"/>
        </w:rPr>
        <w:t>探索页面可查看专业介绍、专业基本信息、专业毕业生规模、专业满意度、全国各全域开设院校、专业开设课程、专业能力、专业证书、升学路径、从业情况、毕业生建议。</w:t>
      </w:r>
    </w:p>
    <w:p>
      <w:pPr>
        <w:pStyle w:val="Style13"/>
        <w:rPr>
          <w:rFonts w:ascii="仿宋" w:eastAsia="仿宋" w:hAnsi="仿宋" w:cs="仿宋"/>
          <w:color w:val="000000"/>
          <w:shd w:val="clear" w:color="auto" w:fill="FFFFFF"/>
        </w:rPr>
      </w:pPr>
      <w:r>
        <w:rPr>
          <w:rFonts w:ascii="仿宋" w:eastAsia="仿宋" w:hAnsi="仿宋" w:cs="仿宋" w:hint="eastAsia"/>
          <w:noProof/>
          <w:color w:val="000000"/>
          <w:shd w:val="clear" w:color="auto" w:fill="FFFFFF"/>
        </w:rPr>
        <w:drawing>
          <wp:inline distT="0" distB="0" distL="114300" distR="114300">
            <wp:extent cx="5727700" cy="2616835"/>
            <wp:effectExtent l="0" t="0" r="6350" b="1206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3.2.2 就业信息库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/>
          <w:color w:val="000000"/>
        </w:rPr>
        <w:t>点击左侧菜单中的</w:t>
      </w:r>
      <w:r>
        <w:rPr>
          <w:rFonts w:ascii="仿宋" w:eastAsia="仿宋" w:hAnsi="仿宋" w:cs="仿宋" w:hint="eastAsia"/>
          <w:color w:val="000000"/>
        </w:rPr>
        <w:t>人才培养服务→就业信息库</w:t>
      </w:r>
      <w:r>
        <w:rPr>
          <w:rFonts w:ascii="仿宋" w:eastAsia="仿宋" w:hAnsi="仿宋" w:cs="仿宋"/>
          <w:color w:val="000000"/>
        </w:rPr>
        <w:t>，</w:t>
      </w:r>
      <w:r>
        <w:rPr>
          <w:rFonts w:ascii="仿宋" w:eastAsia="仿宋" w:hAnsi="仿宋" w:cs="仿宋" w:hint="eastAsia"/>
          <w:color w:val="000000"/>
        </w:rPr>
        <w:t>可查看</w:t>
      </w:r>
      <w:r>
        <w:rPr>
          <w:rFonts w:ascii="仿宋" w:eastAsia="仿宋" w:hAnsi="仿宋" w:cs="仿宋"/>
          <w:color w:val="000000"/>
        </w:rPr>
        <w:t>岗位招聘信息，支持通过省份、来源、薪资、学历、行业、专业、岗位名称进行查询。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noProof/>
          <w:color w:val="000000"/>
        </w:rPr>
        <w:lastRenderedPageBreak/>
        <w:drawing>
          <wp:inline distT="0" distB="0" distL="114300" distR="114300">
            <wp:extent cx="5723890" cy="2620645"/>
            <wp:effectExtent l="0" t="0" r="10160" b="825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仿宋" w:eastAsia="仿宋" w:hAnsi="仿宋" w:cs="仿宋" w:hint="eastAsia"/>
          <w:color w:val="000000"/>
        </w:rPr>
        <w:t>（1）查看岗位招聘信息详情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点击招聘岗位卡片可查看岗位招聘信息详情。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noProof/>
          <w:color w:val="000000"/>
        </w:rPr>
        <w:drawing>
          <wp:inline distT="0" distB="0" distL="114300" distR="114300">
            <wp:extent cx="5730240" cy="2616835"/>
            <wp:effectExtent l="0" t="0" r="3810" b="1206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3.2.3 个性化学习路径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/>
          <w:color w:val="000000"/>
        </w:rPr>
        <w:t>点击左侧菜单中的</w:t>
      </w:r>
      <w:r>
        <w:rPr>
          <w:rFonts w:ascii="仿宋" w:eastAsia="仿宋" w:hAnsi="仿宋" w:cs="仿宋" w:hint="eastAsia"/>
          <w:color w:val="000000"/>
        </w:rPr>
        <w:t>人才培养服务→个性化学习路径</w:t>
      </w:r>
      <w:r>
        <w:rPr>
          <w:rFonts w:ascii="仿宋" w:eastAsia="仿宋" w:hAnsi="仿宋" w:cs="仿宋"/>
          <w:color w:val="000000"/>
        </w:rPr>
        <w:t>，</w:t>
      </w:r>
      <w:r>
        <w:rPr>
          <w:rFonts w:ascii="仿宋" w:eastAsia="仿宋" w:hAnsi="仿宋" w:cs="仿宋" w:hint="eastAsia"/>
          <w:color w:val="000000"/>
        </w:rPr>
        <w:t>可为每个学生生成个性化培养方案。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noProof/>
          <w:color w:val="000000"/>
        </w:rPr>
        <w:lastRenderedPageBreak/>
        <w:drawing>
          <wp:inline distT="0" distB="0" distL="114300" distR="114300">
            <wp:extent cx="5723890" cy="2608580"/>
            <wp:effectExtent l="0" t="0" r="10160" b="127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（1）批量生成学生个性化培养方案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点击“方案生成”按钮，选择专业和班级后点击“开始生成方案”按钮可批量生成该班级学生的个性化培养方案。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仿宋" w:eastAsia="仿宋" w:hAnsi="仿宋" w:cs="仿宋" w:hint="eastAsia"/>
          <w:color w:val="000000"/>
        </w:rPr>
        <w:t>注意求职意向和教育经历未填写完整的学生无法生成。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727700" cy="2616835"/>
            <wp:effectExtent l="0" t="0" r="6350" b="1206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（2）查看学生个性化培养方案生成进度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仿宋" w:eastAsia="仿宋" w:hAnsi="仿宋" w:cs="仿宋" w:hint="eastAsia"/>
          <w:color w:val="000000"/>
        </w:rPr>
        <w:t>注意方案生成需要一段时间，可根据人</w:t>
      </w:r>
      <w:proofErr w:type="gramStart"/>
      <w:r>
        <w:rPr>
          <w:rFonts w:ascii="仿宋" w:eastAsia="仿宋" w:hAnsi="仿宋" w:cs="仿宋" w:hint="eastAsia"/>
          <w:color w:val="000000"/>
        </w:rPr>
        <w:t>培方案</w:t>
      </w:r>
      <w:proofErr w:type="gramEnd"/>
      <w:r>
        <w:rPr>
          <w:rFonts w:ascii="仿宋" w:eastAsia="仿宋" w:hAnsi="仿宋" w:cs="仿宋" w:hint="eastAsia"/>
          <w:color w:val="000000"/>
        </w:rPr>
        <w:t>生成状态查看生成进度。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724525" cy="2586990"/>
            <wp:effectExtent l="0" t="0" r="9525" b="381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仿宋" w:eastAsia="仿宋" w:hAnsi="仿宋" w:cs="仿宋" w:hint="eastAsia"/>
          <w:color w:val="000000"/>
        </w:rPr>
        <w:t>（3）查看学生个性化培养方案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仿宋" w:eastAsia="仿宋" w:hAnsi="仿宋" w:cs="仿宋" w:hint="eastAsia"/>
          <w:color w:val="000000"/>
        </w:rPr>
        <w:t>方案生成后，点击学生列表操作栏“方案查看”按钮可查看学生的个性化培养方案列表。点击方案的报告名称可预览该方案；鼠标放在方案的生成依据上可查看方案生成时的学生信息；点击方案的“下载”按钮可下载该方案。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727700" cy="2616835"/>
            <wp:effectExtent l="0" t="0" r="6350" b="1206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（4）查看学生信息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仿宋" w:eastAsia="仿宋" w:hAnsi="仿宋" w:cs="仿宋" w:hint="eastAsia"/>
          <w:color w:val="000000"/>
        </w:rPr>
        <w:t>点击学生列表操作栏“学生信息”按钮可查看学生的求职意向、教育经历、基础资料、工作经历、项目经历、技能证书等信息。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724525" cy="2616835"/>
            <wp:effectExtent l="0" t="0" r="9525" b="1206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（5）批量下载学生个性化培养方案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仿宋" w:eastAsia="仿宋" w:hAnsi="仿宋" w:cs="仿宋" w:hint="eastAsia"/>
          <w:color w:val="000000"/>
        </w:rPr>
        <w:t>点击“方案下载”按钮，选择专业和班级后点击“开始下载”按钮，可打包下载所选学生的最新培养方案。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723890" cy="2605405"/>
            <wp:effectExtent l="0" t="0" r="10160" b="444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3.2.4 专业分析报告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/>
          <w:color w:val="000000"/>
        </w:rPr>
        <w:t>点击左侧菜单中的</w:t>
      </w:r>
      <w:r>
        <w:rPr>
          <w:rFonts w:ascii="仿宋" w:eastAsia="仿宋" w:hAnsi="仿宋" w:cs="仿宋" w:hint="eastAsia"/>
          <w:color w:val="000000"/>
        </w:rPr>
        <w:t>人才培养服务→专业分析报告</w:t>
      </w:r>
      <w:r>
        <w:rPr>
          <w:rFonts w:ascii="仿宋" w:eastAsia="仿宋" w:hAnsi="仿宋" w:cs="仿宋"/>
          <w:color w:val="000000"/>
        </w:rPr>
        <w:t>，</w:t>
      </w:r>
      <w:r>
        <w:rPr>
          <w:rFonts w:ascii="仿宋" w:eastAsia="仿宋" w:hAnsi="仿宋" w:cs="仿宋" w:hint="eastAsia"/>
          <w:color w:val="000000"/>
        </w:rPr>
        <w:t>选择报告点击“查看报告”按钮，可进入所选报告的列表页面。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noProof/>
          <w:color w:val="000000"/>
        </w:rPr>
        <w:lastRenderedPageBreak/>
        <w:drawing>
          <wp:inline distT="0" distB="0" distL="114300" distR="114300">
            <wp:extent cx="5727700" cy="2620010"/>
            <wp:effectExtent l="0" t="0" r="6350" b="889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（1）生成报告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仿宋" w:eastAsia="仿宋" w:hAnsi="仿宋" w:cs="仿宋" w:hint="eastAsia"/>
          <w:color w:val="000000"/>
        </w:rPr>
        <w:t>在报告列表页面，点击“生成报告”按钮，可进入报告生成页面。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727700" cy="2632075"/>
            <wp:effectExtent l="0" t="0" r="6350" b="1587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在报告生成页面，点击“编辑”按钮可修改生成报告的基础数据，还可输入报告优化建议，然后点击“确定生成”按钮开始生成报告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noProof/>
          <w:color w:val="000000"/>
        </w:rPr>
        <w:lastRenderedPageBreak/>
        <w:drawing>
          <wp:inline distT="0" distB="0" distL="114300" distR="114300">
            <wp:extent cx="5715635" cy="2628900"/>
            <wp:effectExtent l="0" t="0" r="18415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（2）查看报告生成状态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报告生成需要一段时间，在报告列表页面，可在报告卡片中查看生成状态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noProof/>
          <w:color w:val="000000"/>
        </w:rPr>
        <w:drawing>
          <wp:inline distT="0" distB="0" distL="114300" distR="114300">
            <wp:extent cx="5730875" cy="2610485"/>
            <wp:effectExtent l="0" t="0" r="3175" b="1841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（3）查看报告详情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仿宋" w:eastAsia="仿宋" w:hAnsi="仿宋" w:cs="仿宋" w:hint="eastAsia"/>
          <w:color w:val="000000"/>
        </w:rPr>
        <w:t>在报告列表页面，点击报告卡片中的“预览”按钮，可查看报告详情。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727700" cy="2397125"/>
            <wp:effectExtent l="0" t="0" r="6350" b="317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57"/>
                    <a:srcRect b="903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（4）下载报告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在报告详情页面，点击“下载报告”按钮即可下载当前报告。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noProof/>
          <w:color w:val="000000"/>
        </w:rPr>
        <w:drawing>
          <wp:inline distT="0" distB="0" distL="114300" distR="114300">
            <wp:extent cx="5715635" cy="2310130"/>
            <wp:effectExtent l="0" t="0" r="18415" b="1397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58"/>
                    <a:srcRect b="11974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（5）删除报告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在报告列表页面，点击报告卡片中的“x”按钮，再点击“确定”按钮即可删除报告。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noProof/>
          <w:color w:val="000000"/>
        </w:rPr>
        <w:drawing>
          <wp:inline distT="0" distB="0" distL="114300" distR="114300">
            <wp:extent cx="5723890" cy="2310765"/>
            <wp:effectExtent l="0" t="0" r="10160" b="1333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3.2.5 专业匹配度诊断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/>
          <w:color w:val="000000"/>
        </w:rPr>
        <w:lastRenderedPageBreak/>
        <w:t>点击左侧菜单中的</w:t>
      </w:r>
      <w:r>
        <w:rPr>
          <w:rFonts w:ascii="仿宋" w:eastAsia="仿宋" w:hAnsi="仿宋" w:cs="仿宋" w:hint="eastAsia"/>
          <w:color w:val="000000"/>
        </w:rPr>
        <w:t>人才培养服务→专业匹配度诊断</w:t>
      </w:r>
      <w:r>
        <w:rPr>
          <w:rFonts w:ascii="仿宋" w:eastAsia="仿宋" w:hAnsi="仿宋" w:cs="仿宋"/>
          <w:color w:val="000000"/>
        </w:rPr>
        <w:t>，</w:t>
      </w:r>
      <w:r>
        <w:rPr>
          <w:rFonts w:ascii="仿宋" w:eastAsia="仿宋" w:hAnsi="仿宋" w:cs="仿宋" w:hint="eastAsia"/>
          <w:color w:val="000000"/>
        </w:rPr>
        <w:t>选择一个专业，可查看所选专业下课程知识点对职业技能点的覆盖情况。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/>
          <w:noProof/>
          <w:color w:val="000000"/>
        </w:rPr>
        <w:drawing>
          <wp:inline distT="0" distB="0" distL="114300" distR="114300">
            <wp:extent cx="5686425" cy="2632075"/>
            <wp:effectExtent l="0" t="0" r="9525" b="1587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60"/>
                    <a:srcRect r="66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（1）跨图谱搜索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仿宋" w:eastAsia="仿宋" w:hAnsi="仿宋" w:cs="仿宋" w:hint="eastAsia"/>
          <w:color w:val="000000"/>
        </w:rPr>
        <w:t>在跨图谱搜索输入框中输入关键字，按回车键，可查看知识图谱与技能图谱中与之相关的节点。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721350" cy="2617470"/>
            <wp:effectExtent l="0" t="0" r="12700" b="1143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（2）查看完整图谱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当前页面的知识图谱及技能图谱为简化版，点击“查看完整图谱”按钮可查看相应的完整图谱。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noProof/>
          <w:color w:val="000000"/>
        </w:rPr>
        <w:lastRenderedPageBreak/>
        <w:drawing>
          <wp:inline distT="0" distB="0" distL="114300" distR="114300">
            <wp:extent cx="5724525" cy="2616835"/>
            <wp:effectExtent l="0" t="0" r="9525" b="12065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（3）查看、下载专业优化建议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点击“查看优化建议”按钮，可进入优化建议页面，默认展示专业优化建议。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noProof/>
          <w:color w:val="000000"/>
        </w:rPr>
        <w:drawing>
          <wp:inline distT="0" distB="0" distL="114300" distR="114300">
            <wp:extent cx="5727700" cy="2628900"/>
            <wp:effectExtent l="0" t="0" r="635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优化建议页面左侧为知识点未覆盖技能点及建议覆盖技能点，右侧为优化建议；点击“下载专业优化报告”按钮可下载当前专业的优化报告。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noProof/>
          <w:color w:val="000000"/>
        </w:rPr>
        <w:lastRenderedPageBreak/>
        <w:drawing>
          <wp:inline distT="0" distB="0" distL="114300" distR="114300">
            <wp:extent cx="5718810" cy="2640330"/>
            <wp:effectExtent l="0" t="0" r="15240" b="762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（4）查看、下载课程优化建议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在优化建议页面，点击“课程优化建议”选项，选择一门课程，可查看当前课程优化建议；点击“下载课程优化报告”按钮可下载当前课程的优化报告。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noProof/>
          <w:color w:val="000000"/>
        </w:rPr>
        <w:drawing>
          <wp:inline distT="0" distB="0" distL="114300" distR="114300">
            <wp:extent cx="5730875" cy="2610485"/>
            <wp:effectExtent l="0" t="0" r="3175" b="18415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3.2.6 专业知识图谱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/>
          <w:color w:val="000000"/>
        </w:rPr>
        <w:t>点击左侧菜单中的</w:t>
      </w:r>
      <w:r>
        <w:rPr>
          <w:rFonts w:ascii="仿宋" w:eastAsia="仿宋" w:hAnsi="仿宋" w:cs="仿宋" w:hint="eastAsia"/>
          <w:color w:val="000000"/>
        </w:rPr>
        <w:t>人才培养服务→专业知识图谱</w:t>
      </w:r>
      <w:r>
        <w:rPr>
          <w:rFonts w:ascii="仿宋" w:eastAsia="仿宋" w:hAnsi="仿宋" w:cs="仿宋"/>
          <w:color w:val="000000"/>
        </w:rPr>
        <w:t>，</w:t>
      </w:r>
      <w:r>
        <w:rPr>
          <w:rFonts w:ascii="仿宋" w:eastAsia="仿宋" w:hAnsi="仿宋" w:cs="仿宋" w:hint="eastAsia"/>
          <w:color w:val="000000"/>
        </w:rPr>
        <w:t>可查看某个专业下所有课程的知识图谱。</w:t>
      </w:r>
    </w:p>
    <w:p>
      <w:pPr>
        <w:pStyle w:val="Style13"/>
        <w:numPr>
          <w:ilvl w:val="0"/>
          <w:numId w:val="13"/>
        </w:numPr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切换专业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点击左侧专业，可查看当前专业知识图谱。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noProof/>
          <w:color w:val="000000"/>
        </w:rPr>
        <w:lastRenderedPageBreak/>
        <w:drawing>
          <wp:inline distT="0" distB="0" distL="114300" distR="114300">
            <wp:extent cx="5727700" cy="2616835"/>
            <wp:effectExtent l="0" t="0" r="6350" b="12065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numPr>
          <w:ilvl w:val="0"/>
          <w:numId w:val="13"/>
        </w:numPr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展开/折叠节点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点击“全部展开”节点可展开全部节点，展开全部节点后，点击“全部折叠”按钮可折叠全部节点；点击节点可展开/折叠当前节点。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noProof/>
          <w:color w:val="000000"/>
        </w:rPr>
        <w:drawing>
          <wp:inline distT="0" distB="0" distL="114300" distR="114300">
            <wp:extent cx="5718810" cy="2622550"/>
            <wp:effectExtent l="0" t="0" r="15240" b="635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numPr>
          <w:ilvl w:val="0"/>
          <w:numId w:val="13"/>
        </w:numPr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查看树状图谱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点击“树状”选项可切换为树状图谱。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noProof/>
          <w:color w:val="000000"/>
        </w:rPr>
        <w:lastRenderedPageBreak/>
        <w:drawing>
          <wp:inline distT="0" distB="0" distL="114300" distR="114300">
            <wp:extent cx="5715635" cy="2614295"/>
            <wp:effectExtent l="0" t="0" r="18415" b="1460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3.2.7 专业技能图谱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/>
          <w:color w:val="000000"/>
        </w:rPr>
        <w:t>点击左侧菜单中的</w:t>
      </w:r>
      <w:r>
        <w:rPr>
          <w:rFonts w:ascii="仿宋" w:eastAsia="仿宋" w:hAnsi="仿宋" w:cs="仿宋" w:hint="eastAsia"/>
          <w:color w:val="000000"/>
        </w:rPr>
        <w:t>人才培养服务→专业技能图谱</w:t>
      </w:r>
      <w:r>
        <w:rPr>
          <w:rFonts w:ascii="仿宋" w:eastAsia="仿宋" w:hAnsi="仿宋" w:cs="仿宋"/>
          <w:color w:val="000000"/>
        </w:rPr>
        <w:t>，</w:t>
      </w:r>
      <w:r>
        <w:rPr>
          <w:rFonts w:ascii="仿宋" w:eastAsia="仿宋" w:hAnsi="仿宋" w:cs="仿宋" w:hint="eastAsia"/>
          <w:color w:val="000000"/>
        </w:rPr>
        <w:t>可查看某个专业下所有职业的技能图谱。</w:t>
      </w:r>
    </w:p>
    <w:p>
      <w:pPr>
        <w:pStyle w:val="Style13"/>
        <w:numPr>
          <w:ilvl w:val="0"/>
          <w:numId w:val="14"/>
        </w:numPr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切换专业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点击左侧专业，可查看当前专业技能图谱。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noProof/>
          <w:color w:val="000000"/>
        </w:rPr>
        <w:drawing>
          <wp:inline distT="0" distB="0" distL="114300" distR="114300">
            <wp:extent cx="5718810" cy="2618740"/>
            <wp:effectExtent l="0" t="0" r="15240" b="1016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numPr>
          <w:ilvl w:val="0"/>
          <w:numId w:val="14"/>
        </w:numPr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展开/折叠节点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点击“全部展开”节点可展开全部节点，展开全部节点后，点击“全部折叠”按钮可折叠全部节点；点击节点可展开/折叠当前节点。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noProof/>
          <w:color w:val="000000"/>
        </w:rPr>
        <w:lastRenderedPageBreak/>
        <w:drawing>
          <wp:inline distT="0" distB="0" distL="114300" distR="114300">
            <wp:extent cx="5718810" cy="2610485"/>
            <wp:effectExtent l="0" t="0" r="15240" b="18415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numPr>
          <w:ilvl w:val="0"/>
          <w:numId w:val="14"/>
        </w:numPr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查看树状图谱</w:t>
      </w:r>
    </w:p>
    <w:p>
      <w:pPr>
        <w:pStyle w:val="Style13"/>
        <w:rPr>
          <w:rFonts w:ascii="仿宋" w:eastAsia="仿宋" w:hAnsi="仿宋" w:cs="仿宋"/>
          <w:color w:val="000000"/>
        </w:rPr>
      </w:pPr>
      <w:r>
        <w:rPr>
          <w:rFonts w:ascii="仿宋" w:eastAsia="仿宋" w:hAnsi="仿宋" w:cs="仿宋" w:hint="eastAsia"/>
          <w:color w:val="000000"/>
        </w:rPr>
        <w:t>点击“树状”选项可切换为树状图谱。</w:t>
      </w:r>
    </w:p>
    <w:p>
      <w:pPr>
        <w:pStyle w:val="Style13"/>
        <w:rPr>
          <w:rFonts w:ascii="微软雅黑" w:eastAsia="微软雅黑" w:hAnsi="微软雅黑" w:cs="微软雅黑"/>
        </w:rPr>
      </w:pPr>
      <w:r>
        <w:rPr>
          <w:rFonts w:ascii="仿宋" w:eastAsia="仿宋" w:hAnsi="仿宋" w:cs="仿宋" w:hint="eastAsia"/>
          <w:noProof/>
          <w:color w:val="000000"/>
        </w:rPr>
        <w:drawing>
          <wp:inline distT="0" distB="0" distL="114300" distR="114300">
            <wp:extent cx="5715635" cy="2592070"/>
            <wp:effectExtent l="0" t="0" r="18415" b="1778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rPr>
          <w:rFonts w:ascii="微软雅黑" w:eastAsia="微软雅黑" w:hAnsi="微软雅黑" w:cs="微软雅黑"/>
        </w:rPr>
      </w:pPr>
    </w:p>
    <w:p>
      <w:pPr>
        <w:pStyle w:val="a6"/>
        <w:widowControl/>
        <w:spacing w:before="120" w:beforeAutospacing="0" w:after="120" w:afterAutospacing="0" w:line="288" w:lineRule="auto"/>
        <w:rPr>
          <w:rFonts w:ascii="微软雅黑" w:eastAsia="微软雅黑" w:hAnsi="微软雅黑" w:cs="微软雅黑"/>
          <w:sz w:val="22"/>
        </w:rPr>
      </w:pPr>
      <w:r>
        <w:rPr>
          <w:rFonts w:ascii="微软雅黑" w:eastAsia="微软雅黑" w:hAnsi="微软雅黑" w:cs="微软雅黑"/>
          <w:sz w:val="22"/>
          <w:lang w:bidi="ar"/>
        </w:rPr>
        <w:t>3.3 智能生成助手</w:t>
      </w:r>
    </w:p>
    <w:p>
      <w:pPr>
        <w:pStyle w:val="a6"/>
        <w:widowControl/>
        <w:spacing w:before="120" w:beforeAutospacing="0" w:after="120" w:afterAutospacing="0" w:line="288" w:lineRule="auto"/>
        <w:rPr>
          <w:rFonts w:ascii="微软雅黑" w:eastAsia="微软雅黑" w:hAnsi="微软雅黑" w:cs="微软雅黑"/>
          <w:sz w:val="22"/>
        </w:rPr>
      </w:pPr>
      <w:r>
        <w:rPr>
          <w:rFonts w:ascii="微软雅黑" w:eastAsia="微软雅黑" w:hAnsi="微软雅黑" w:cs="微软雅黑"/>
          <w:sz w:val="22"/>
          <w:lang w:bidi="ar"/>
        </w:rPr>
        <w:t>3.3.1 专业群逻辑生成</w:t>
      </w:r>
    </w:p>
    <w:p>
      <w:pPr>
        <w:pStyle w:val="a6"/>
        <w:widowControl/>
        <w:spacing w:before="120" w:beforeAutospacing="0" w:after="120" w:afterAutospacing="0" w:line="288" w:lineRule="auto"/>
        <w:ind w:firstLineChars="200" w:firstLine="440"/>
        <w:rPr>
          <w:rFonts w:ascii="仿宋" w:eastAsia="仿宋" w:hAnsi="仿宋" w:cs="仿宋"/>
          <w:color w:val="000000"/>
          <w:sz w:val="22"/>
        </w:rPr>
      </w:pPr>
      <w:r>
        <w:rPr>
          <w:rFonts w:ascii="仿宋" w:eastAsia="仿宋" w:hAnsi="仿宋" w:cs="仿宋"/>
          <w:color w:val="000000"/>
          <w:sz w:val="22"/>
          <w:lang w:bidi="ar"/>
        </w:rPr>
        <w:t>专业群组群逻辑生成功能，可依据用户选定的专业领域、产业链环节及支撑点信息，结合预设模板自动生成适配的专业群组逻辑。</w:t>
      </w:r>
    </w:p>
    <w:p>
      <w:pPr>
        <w:pStyle w:val="a6"/>
        <w:widowControl/>
        <w:spacing w:beforeAutospacing="0" w:afterAutospacing="0"/>
        <w:rPr>
          <w:rFonts w:ascii="仿宋" w:eastAsia="仿宋" w:hAnsi="仿宋" w:cs="仿宋"/>
          <w:color w:val="000000"/>
          <w:sz w:val="22"/>
        </w:rPr>
      </w:pPr>
      <w:r>
        <w:rPr>
          <w:rFonts w:ascii="仿宋" w:eastAsia="仿宋" w:hAnsi="仿宋" w:cs="仿宋"/>
          <w:noProof/>
          <w:color w:val="000000"/>
          <w:sz w:val="22"/>
        </w:rPr>
        <w:lastRenderedPageBreak/>
        <w:drawing>
          <wp:inline distT="0" distB="0" distL="114300" distR="114300">
            <wp:extent cx="5730875" cy="3004185"/>
            <wp:effectExtent l="0" t="0" r="3175" b="571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color w:val="000000"/>
          <w:sz w:val="22"/>
          <w:lang w:bidi="ar"/>
        </w:rPr>
        <w:t xml:space="preserve"> </w:t>
      </w:r>
    </w:p>
    <w:p>
      <w:pPr>
        <w:pStyle w:val="a6"/>
        <w:widowControl/>
        <w:numPr>
          <w:ilvl w:val="0"/>
          <w:numId w:val="15"/>
        </w:numPr>
        <w:spacing w:before="120" w:beforeAutospacing="0" w:after="120" w:afterAutospacing="0" w:line="288" w:lineRule="auto"/>
        <w:ind w:firstLine="420"/>
        <w:rPr>
          <w:rFonts w:ascii="仿宋" w:eastAsia="仿宋" w:hAnsi="仿宋" w:cs="仿宋"/>
          <w:sz w:val="22"/>
          <w:lang w:bidi="ar"/>
        </w:rPr>
      </w:pPr>
      <w:r>
        <w:rPr>
          <w:rFonts w:ascii="仿宋" w:eastAsia="仿宋" w:hAnsi="仿宋" w:cs="仿宋"/>
          <w:sz w:val="22"/>
          <w:lang w:bidi="ar"/>
        </w:rPr>
        <w:t>新增</w:t>
      </w:r>
    </w:p>
    <w:p>
      <w:pPr>
        <w:pStyle w:val="a6"/>
        <w:widowControl/>
        <w:spacing w:before="120" w:beforeAutospacing="0" w:after="120" w:afterAutospacing="0" w:line="288" w:lineRule="auto"/>
        <w:ind w:left="420"/>
        <w:rPr>
          <w:rFonts w:ascii="仿宋" w:eastAsia="仿宋" w:hAnsi="仿宋" w:cs="仿宋"/>
          <w:sz w:val="22"/>
          <w:lang w:bidi="ar"/>
        </w:rPr>
      </w:pPr>
      <w:r>
        <w:rPr>
          <w:rFonts w:ascii="仿宋" w:eastAsia="仿宋" w:hAnsi="仿宋" w:cs="仿宋" w:hint="eastAsia"/>
          <w:noProof/>
          <w:sz w:val="22"/>
        </w:rPr>
        <w:drawing>
          <wp:inline distT="0" distB="0" distL="114300" distR="114300">
            <wp:extent cx="5725160" cy="4247515"/>
            <wp:effectExtent l="0" t="0" r="8890" b="63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6"/>
        <w:widowControl/>
        <w:spacing w:before="120" w:beforeAutospacing="0" w:after="120" w:afterAutospacing="0" w:line="288" w:lineRule="auto"/>
        <w:ind w:left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  <w:lang w:bidi="ar"/>
        </w:rPr>
        <w:t>用户点击新增按钮，根据新增窗口内容进行填写后点击保存按钮。</w:t>
      </w:r>
    </w:p>
    <w:p>
      <w:pPr>
        <w:pStyle w:val="a6"/>
        <w:widowControl/>
        <w:numPr>
          <w:ilvl w:val="0"/>
          <w:numId w:val="15"/>
        </w:numPr>
        <w:spacing w:before="120" w:beforeAutospacing="0" w:after="120" w:afterAutospacing="0" w:line="288" w:lineRule="auto"/>
        <w:ind w:firstLine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  <w:lang w:bidi="ar"/>
        </w:rPr>
        <w:t>方案导出</w:t>
      </w:r>
    </w:p>
    <w:p>
      <w:pPr>
        <w:pStyle w:val="a6"/>
        <w:widowControl/>
        <w:spacing w:before="120" w:beforeAutospacing="0" w:after="120" w:afterAutospacing="0" w:line="288" w:lineRule="auto"/>
        <w:ind w:left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  <w:lang w:bidi="ar"/>
        </w:rPr>
        <w:t>用户选择点击“方案导出”可以导出“专业群组群逻辑方案”。</w:t>
      </w:r>
    </w:p>
    <w:p>
      <w:pPr>
        <w:pStyle w:val="a6"/>
        <w:widowControl/>
        <w:numPr>
          <w:ilvl w:val="0"/>
          <w:numId w:val="15"/>
        </w:numPr>
        <w:spacing w:before="120" w:beforeAutospacing="0" w:after="120" w:afterAutospacing="0" w:line="288" w:lineRule="auto"/>
        <w:ind w:firstLine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  <w:lang w:bidi="ar"/>
        </w:rPr>
        <w:lastRenderedPageBreak/>
        <w:t>刷新进度</w:t>
      </w:r>
    </w:p>
    <w:p>
      <w:pPr>
        <w:pStyle w:val="a6"/>
        <w:widowControl/>
        <w:spacing w:before="120" w:beforeAutospacing="0" w:after="120" w:afterAutospacing="0" w:line="288" w:lineRule="auto"/>
        <w:ind w:left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  <w:lang w:bidi="ar"/>
        </w:rPr>
        <w:t>用户点击“刷新进度”按钮可以刷新方案生成进度。</w:t>
      </w:r>
    </w:p>
    <w:p>
      <w:pPr>
        <w:pStyle w:val="a6"/>
        <w:widowControl/>
        <w:numPr>
          <w:ilvl w:val="0"/>
          <w:numId w:val="15"/>
        </w:numPr>
        <w:spacing w:before="120" w:beforeAutospacing="0" w:after="120" w:afterAutospacing="0" w:line="288" w:lineRule="auto"/>
        <w:ind w:firstLine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  <w:lang w:bidi="ar"/>
        </w:rPr>
        <w:t>删除</w:t>
      </w:r>
    </w:p>
    <w:p>
      <w:pPr>
        <w:pStyle w:val="a6"/>
        <w:widowControl/>
        <w:spacing w:before="120" w:beforeAutospacing="0" w:after="120" w:afterAutospacing="0" w:line="288" w:lineRule="auto"/>
        <w:ind w:left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  <w:lang w:bidi="ar"/>
        </w:rPr>
        <w:t>用户点击“删除”按钮可以删除该组群逻辑方案。</w:t>
      </w:r>
    </w:p>
    <w:p>
      <w:pPr>
        <w:pStyle w:val="a6"/>
        <w:widowControl/>
        <w:spacing w:before="120" w:beforeAutospacing="0" w:after="120" w:afterAutospacing="0" w:line="288" w:lineRule="auto"/>
        <w:rPr>
          <w:rFonts w:ascii="微软雅黑" w:eastAsia="微软雅黑" w:hAnsi="微软雅黑" w:cs="微软雅黑"/>
          <w:sz w:val="22"/>
        </w:rPr>
      </w:pPr>
      <w:r>
        <w:rPr>
          <w:rFonts w:ascii="微软雅黑" w:eastAsia="微软雅黑" w:hAnsi="微软雅黑" w:cs="微软雅黑"/>
          <w:sz w:val="22"/>
          <w:lang w:bidi="ar"/>
        </w:rPr>
        <w:t>3.3.2人才培养方案</w:t>
      </w:r>
    </w:p>
    <w:p>
      <w:pPr>
        <w:pStyle w:val="a6"/>
        <w:widowControl/>
        <w:spacing w:before="120" w:beforeAutospacing="0" w:after="120" w:afterAutospacing="0" w:line="288" w:lineRule="auto"/>
        <w:ind w:firstLineChars="200" w:firstLine="440"/>
        <w:rPr>
          <w:rFonts w:ascii="仿宋" w:eastAsia="仿宋" w:hAnsi="仿宋" w:cs="仿宋"/>
          <w:color w:val="000000"/>
          <w:sz w:val="22"/>
        </w:rPr>
      </w:pPr>
      <w:r>
        <w:rPr>
          <w:rFonts w:ascii="仿宋" w:eastAsia="仿宋" w:hAnsi="仿宋" w:cs="仿宋"/>
          <w:color w:val="000000"/>
          <w:sz w:val="22"/>
          <w:lang w:bidi="ar"/>
        </w:rPr>
        <w:t>人才培养方案功能模块，支持上</w:t>
      </w:r>
      <w:proofErr w:type="gramStart"/>
      <w:r>
        <w:rPr>
          <w:rFonts w:ascii="仿宋" w:eastAsia="仿宋" w:hAnsi="仿宋" w:cs="仿宋"/>
          <w:color w:val="000000"/>
          <w:sz w:val="22"/>
          <w:lang w:bidi="ar"/>
        </w:rPr>
        <w:t>传现有</w:t>
      </w:r>
      <w:proofErr w:type="gramEnd"/>
      <w:r>
        <w:rPr>
          <w:rFonts w:ascii="仿宋" w:eastAsia="仿宋" w:hAnsi="仿宋" w:cs="仿宋"/>
          <w:color w:val="000000"/>
          <w:sz w:val="22"/>
          <w:lang w:bidi="ar"/>
        </w:rPr>
        <w:t>方案并自动解析信息；能通过 AI 生成培养目标、课程体系等维度的优化建议；还可对比方案差异出变更报告，或按需求直接生成新方案。</w:t>
      </w:r>
    </w:p>
    <w:p>
      <w:pPr>
        <w:pStyle w:val="a6"/>
        <w:widowControl/>
        <w:spacing w:beforeAutospacing="0" w:afterAutospacing="0"/>
        <w:rPr>
          <w:rFonts w:ascii="Calibri" w:eastAsia="宋体" w:hAnsi="Calibri"/>
          <w:szCs w:val="24"/>
        </w:rPr>
      </w:pPr>
      <w:r>
        <w:rPr>
          <w:rFonts w:ascii="Calibri" w:eastAsia="宋体" w:hAnsi="Calibri"/>
          <w:szCs w:val="24"/>
          <w:lang w:bidi="ar"/>
        </w:rPr>
        <w:t xml:space="preserve"> </w:t>
      </w:r>
      <w:r>
        <w:rPr>
          <w:rFonts w:ascii="Calibri" w:eastAsia="宋体" w:hAnsi="Calibri" w:hint="eastAsia"/>
          <w:noProof/>
          <w:szCs w:val="24"/>
        </w:rPr>
        <w:drawing>
          <wp:inline distT="0" distB="0" distL="114300" distR="114300">
            <wp:extent cx="5723890" cy="3034030"/>
            <wp:effectExtent l="0" t="0" r="10160" b="1397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6"/>
        <w:widowControl/>
        <w:numPr>
          <w:ilvl w:val="0"/>
          <w:numId w:val="16"/>
        </w:numPr>
        <w:spacing w:before="120" w:beforeAutospacing="0" w:after="120" w:afterAutospacing="0" w:line="288" w:lineRule="auto"/>
        <w:ind w:firstLine="420"/>
        <w:rPr>
          <w:rFonts w:ascii="Calibri" w:eastAsia="宋体" w:hAnsi="Calibri"/>
          <w:szCs w:val="24"/>
        </w:rPr>
      </w:pPr>
      <w:r>
        <w:rPr>
          <w:rFonts w:ascii="仿宋" w:eastAsia="仿宋" w:hAnsi="仿宋" w:cs="仿宋"/>
          <w:sz w:val="22"/>
          <w:lang w:bidi="ar"/>
        </w:rPr>
        <w:t>方案生成</w:t>
      </w:r>
    </w:p>
    <w:p>
      <w:pPr>
        <w:pStyle w:val="a6"/>
        <w:widowControl/>
        <w:spacing w:before="120" w:beforeAutospacing="0" w:after="120" w:afterAutospacing="0" w:line="288" w:lineRule="auto"/>
        <w:ind w:left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  <w:lang w:bidi="ar"/>
        </w:rPr>
        <w:t>用户点击“方案生成”按钮进入人</w:t>
      </w:r>
      <w:proofErr w:type="gramStart"/>
      <w:r>
        <w:rPr>
          <w:rFonts w:ascii="仿宋" w:eastAsia="仿宋" w:hAnsi="仿宋" w:cs="仿宋"/>
          <w:sz w:val="22"/>
          <w:lang w:bidi="ar"/>
        </w:rPr>
        <w:t>陪方案</w:t>
      </w:r>
      <w:proofErr w:type="gramEnd"/>
      <w:r>
        <w:rPr>
          <w:rFonts w:ascii="仿宋" w:eastAsia="仿宋" w:hAnsi="仿宋" w:cs="仿宋"/>
          <w:sz w:val="22"/>
          <w:lang w:bidi="ar"/>
        </w:rPr>
        <w:t>生成列表页面（此处管理着用户在该专业生成的所有方案）。用户具有新增、删除、方案导出、刷新进度等操作。</w:t>
      </w:r>
      <w:r>
        <w:rPr>
          <w:rFonts w:ascii="仿宋" w:eastAsia="仿宋" w:hAnsi="仿宋" w:cs="仿宋" w:hint="eastAsia"/>
          <w:noProof/>
          <w:sz w:val="22"/>
        </w:rPr>
        <w:drawing>
          <wp:inline distT="0" distB="0" distL="114300" distR="114300">
            <wp:extent cx="5730875" cy="2740660"/>
            <wp:effectExtent l="0" t="0" r="3175" b="254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6"/>
        <w:widowControl/>
        <w:spacing w:before="120" w:beforeAutospacing="0" w:after="120" w:afterAutospacing="0" w:line="288" w:lineRule="auto"/>
        <w:ind w:left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  <w:lang w:bidi="ar"/>
        </w:rPr>
        <w:lastRenderedPageBreak/>
        <w:t xml:space="preserve"> </w:t>
      </w:r>
    </w:p>
    <w:p>
      <w:pPr>
        <w:pStyle w:val="a6"/>
        <w:widowControl/>
        <w:spacing w:before="120" w:beforeAutospacing="0" w:after="120" w:afterAutospacing="0" w:line="288" w:lineRule="auto"/>
        <w:ind w:left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  <w:lang w:bidi="ar"/>
        </w:rPr>
        <w:t>用户点击“新增方案”填写方案名称等信息后选择模板点击保存就可以新增方案。</w:t>
      </w:r>
    </w:p>
    <w:p>
      <w:pPr>
        <w:pStyle w:val="a6"/>
        <w:widowControl/>
        <w:spacing w:before="120" w:beforeAutospacing="0" w:after="120" w:afterAutospacing="0" w:line="288" w:lineRule="auto"/>
        <w:ind w:left="420"/>
        <w:rPr>
          <w:rFonts w:ascii="Calibri" w:eastAsia="宋体" w:hAnsi="Calibri"/>
          <w:szCs w:val="24"/>
        </w:rPr>
      </w:pPr>
      <w:r>
        <w:rPr>
          <w:rFonts w:ascii="Calibri" w:eastAsia="宋体" w:hAnsi="Calibri"/>
          <w:noProof/>
          <w:szCs w:val="24"/>
        </w:rPr>
        <w:drawing>
          <wp:inline distT="0" distB="0" distL="114300" distR="114300">
            <wp:extent cx="5727065" cy="3579495"/>
            <wp:effectExtent l="0" t="0" r="6985" b="190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宋体" w:hAnsi="Calibri"/>
          <w:szCs w:val="24"/>
          <w:lang w:bidi="ar"/>
        </w:rPr>
        <w:t xml:space="preserve"> </w:t>
      </w:r>
    </w:p>
    <w:p>
      <w:pPr>
        <w:pStyle w:val="a6"/>
        <w:widowControl/>
        <w:spacing w:before="120" w:beforeAutospacing="0" w:after="120" w:afterAutospacing="0" w:line="288" w:lineRule="auto"/>
        <w:ind w:left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  <w:lang w:bidi="ar"/>
        </w:rPr>
        <w:t>用户点击方案名称可以进行方案预览，点击“方案导出”可以导出方案，点击“删除”可以删除方案。</w:t>
      </w:r>
    </w:p>
    <w:p>
      <w:pPr>
        <w:pStyle w:val="a6"/>
        <w:widowControl/>
        <w:numPr>
          <w:ilvl w:val="0"/>
          <w:numId w:val="16"/>
        </w:numPr>
        <w:spacing w:before="120" w:beforeAutospacing="0" w:after="120" w:afterAutospacing="0" w:line="288" w:lineRule="auto"/>
        <w:ind w:firstLine="420"/>
        <w:rPr>
          <w:rFonts w:ascii="Calibri" w:eastAsia="宋体" w:hAnsi="Calibri"/>
          <w:szCs w:val="24"/>
        </w:rPr>
      </w:pPr>
      <w:r>
        <w:rPr>
          <w:rFonts w:ascii="仿宋" w:eastAsia="仿宋" w:hAnsi="仿宋" w:cs="仿宋"/>
          <w:sz w:val="22"/>
          <w:lang w:bidi="ar"/>
        </w:rPr>
        <w:t>方案优化</w:t>
      </w:r>
    </w:p>
    <w:p>
      <w:pPr>
        <w:pStyle w:val="a6"/>
        <w:widowControl/>
        <w:spacing w:before="120" w:beforeAutospacing="0" w:after="120" w:afterAutospacing="0" w:line="288" w:lineRule="auto"/>
        <w:ind w:left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  <w:lang w:bidi="ar"/>
        </w:rPr>
        <w:t>用户点击“方案优化”按钮进入人</w:t>
      </w:r>
      <w:proofErr w:type="gramStart"/>
      <w:r>
        <w:rPr>
          <w:rFonts w:ascii="仿宋" w:eastAsia="仿宋" w:hAnsi="仿宋" w:cs="仿宋"/>
          <w:sz w:val="22"/>
          <w:lang w:bidi="ar"/>
        </w:rPr>
        <w:t>陪方案</w:t>
      </w:r>
      <w:proofErr w:type="gramEnd"/>
      <w:r>
        <w:rPr>
          <w:rFonts w:ascii="仿宋" w:eastAsia="仿宋" w:hAnsi="仿宋" w:cs="仿宋"/>
          <w:sz w:val="22"/>
          <w:lang w:bidi="ar"/>
        </w:rPr>
        <w:t>预览页面，右上角有AI优化建立及变更分析报告按钮。</w:t>
      </w:r>
    </w:p>
    <w:p>
      <w:pPr>
        <w:pStyle w:val="a6"/>
        <w:widowControl/>
        <w:spacing w:beforeAutospacing="0" w:afterAutospacing="0"/>
        <w:rPr>
          <w:rFonts w:ascii="Calibri" w:eastAsia="宋体" w:hAnsi="Calibri"/>
          <w:szCs w:val="24"/>
        </w:rPr>
      </w:pPr>
      <w:r>
        <w:rPr>
          <w:rFonts w:ascii="Calibri" w:eastAsia="宋体" w:hAnsi="Calibri"/>
          <w:noProof/>
          <w:szCs w:val="24"/>
        </w:rPr>
        <w:lastRenderedPageBreak/>
        <w:drawing>
          <wp:inline distT="0" distB="0" distL="114300" distR="114300">
            <wp:extent cx="5723890" cy="3020695"/>
            <wp:effectExtent l="0" t="0" r="10160" b="825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宋体" w:hAnsi="Calibri"/>
          <w:szCs w:val="24"/>
          <w:lang w:bidi="ar"/>
        </w:rPr>
        <w:t xml:space="preserve"> </w:t>
      </w:r>
      <w:r>
        <w:rPr>
          <w:rFonts w:ascii="仿宋" w:eastAsia="仿宋" w:hAnsi="仿宋" w:cs="仿宋"/>
          <w:sz w:val="22"/>
          <w:lang w:bidi="ar"/>
        </w:rPr>
        <w:t>点击“AI优化建议”按钮即可由AI进行分析人</w:t>
      </w:r>
      <w:proofErr w:type="gramStart"/>
      <w:r>
        <w:rPr>
          <w:rFonts w:ascii="仿宋" w:eastAsia="仿宋" w:hAnsi="仿宋" w:cs="仿宋"/>
          <w:sz w:val="22"/>
          <w:lang w:bidi="ar"/>
        </w:rPr>
        <w:t>陪方案</w:t>
      </w:r>
      <w:proofErr w:type="gramEnd"/>
      <w:r>
        <w:rPr>
          <w:rFonts w:ascii="仿宋" w:eastAsia="仿宋" w:hAnsi="仿宋" w:cs="仿宋"/>
          <w:sz w:val="22"/>
          <w:lang w:bidi="ar"/>
        </w:rPr>
        <w:t>并给出优化建议</w:t>
      </w:r>
      <w:r>
        <w:rPr>
          <w:rFonts w:ascii="Calibri" w:eastAsia="宋体" w:hAnsi="Calibri" w:hint="eastAsia"/>
          <w:szCs w:val="24"/>
          <w:lang w:bidi="ar"/>
        </w:rPr>
        <w:br/>
      </w:r>
      <w:r>
        <w:rPr>
          <w:rFonts w:ascii="Calibri" w:eastAsia="宋体" w:hAnsi="Calibri" w:hint="eastAsia"/>
          <w:noProof/>
          <w:szCs w:val="24"/>
        </w:rPr>
        <w:drawing>
          <wp:inline distT="0" distB="0" distL="114300" distR="114300">
            <wp:extent cx="5723890" cy="4082415"/>
            <wp:effectExtent l="0" t="0" r="10160" b="1333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6"/>
        <w:widowControl/>
        <w:spacing w:beforeAutospacing="0" w:afterAutospacing="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  <w:lang w:bidi="ar"/>
        </w:rPr>
        <w:t>点击“变更分析报告”按钮后根据</w:t>
      </w:r>
      <w:proofErr w:type="gramStart"/>
      <w:r>
        <w:rPr>
          <w:rFonts w:ascii="仿宋" w:eastAsia="仿宋" w:hAnsi="仿宋" w:cs="仿宋"/>
          <w:sz w:val="22"/>
          <w:lang w:bidi="ar"/>
        </w:rPr>
        <w:t>弹窗信息</w:t>
      </w:r>
      <w:proofErr w:type="gramEnd"/>
      <w:r>
        <w:rPr>
          <w:rFonts w:ascii="仿宋" w:eastAsia="仿宋" w:hAnsi="仿宋" w:cs="仿宋"/>
          <w:sz w:val="22"/>
          <w:lang w:bidi="ar"/>
        </w:rPr>
        <w:t>选择对比文档（历史版本中的文档），点击分析即可生成变更分析报告。可以对生成后的变更报告进行导出、重新分析等操作。</w:t>
      </w:r>
    </w:p>
    <w:p>
      <w:pPr>
        <w:pStyle w:val="a6"/>
        <w:widowControl/>
        <w:spacing w:before="120" w:beforeAutospacing="0" w:after="120" w:afterAutospacing="0" w:line="288" w:lineRule="auto"/>
        <w:rPr>
          <w:rFonts w:ascii="微软雅黑" w:eastAsia="微软雅黑" w:hAnsi="微软雅黑" w:cs="微软雅黑"/>
          <w:sz w:val="22"/>
        </w:rPr>
      </w:pPr>
      <w:r>
        <w:rPr>
          <w:rFonts w:ascii="微软雅黑" w:eastAsia="微软雅黑" w:hAnsi="微软雅黑" w:cs="微软雅黑"/>
          <w:sz w:val="22"/>
          <w:lang w:bidi="ar"/>
        </w:rPr>
        <w:t xml:space="preserve"> </w:t>
      </w:r>
    </w:p>
    <w:p>
      <w:pPr>
        <w:pStyle w:val="a6"/>
        <w:widowControl/>
        <w:spacing w:before="120" w:beforeAutospacing="0" w:after="120" w:afterAutospacing="0" w:line="288" w:lineRule="auto"/>
        <w:rPr>
          <w:rFonts w:ascii="微软雅黑" w:eastAsia="微软雅黑" w:hAnsi="微软雅黑" w:cs="微软雅黑"/>
          <w:sz w:val="22"/>
        </w:rPr>
      </w:pPr>
      <w:r>
        <w:rPr>
          <w:rFonts w:ascii="微软雅黑" w:eastAsia="微软雅黑" w:hAnsi="微软雅黑" w:cs="微软雅黑"/>
          <w:sz w:val="22"/>
          <w:lang w:bidi="ar"/>
        </w:rPr>
        <w:t xml:space="preserve"> </w:t>
      </w:r>
    </w:p>
    <w:p>
      <w:pPr>
        <w:pStyle w:val="a6"/>
        <w:widowControl/>
        <w:spacing w:before="120" w:beforeAutospacing="0" w:after="120" w:afterAutospacing="0" w:line="288" w:lineRule="auto"/>
        <w:rPr>
          <w:rFonts w:ascii="微软雅黑" w:eastAsia="微软雅黑" w:hAnsi="微软雅黑" w:cs="微软雅黑"/>
          <w:sz w:val="22"/>
        </w:rPr>
      </w:pPr>
      <w:r>
        <w:rPr>
          <w:rFonts w:ascii="微软雅黑" w:eastAsia="微软雅黑" w:hAnsi="微软雅黑" w:cs="微软雅黑"/>
          <w:sz w:val="22"/>
          <w:lang w:bidi="ar"/>
        </w:rPr>
        <w:t xml:space="preserve"> </w:t>
      </w:r>
    </w:p>
    <w:p>
      <w:pPr>
        <w:pStyle w:val="a6"/>
        <w:widowControl/>
        <w:spacing w:before="120" w:beforeAutospacing="0" w:after="120" w:afterAutospacing="0" w:line="288" w:lineRule="auto"/>
        <w:rPr>
          <w:rFonts w:ascii="Calibri" w:eastAsia="宋体" w:hAnsi="Calibri"/>
          <w:szCs w:val="24"/>
        </w:rPr>
      </w:pPr>
      <w:r>
        <w:rPr>
          <w:rFonts w:ascii="Calibri" w:eastAsia="宋体" w:hAnsi="Calibri"/>
          <w:noProof/>
          <w:szCs w:val="24"/>
        </w:rPr>
        <w:lastRenderedPageBreak/>
        <w:drawing>
          <wp:inline distT="0" distB="0" distL="114300" distR="114300">
            <wp:extent cx="5723890" cy="4578985"/>
            <wp:effectExtent l="0" t="0" r="10160" b="1206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45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宋体" w:hAnsi="Calibri"/>
          <w:szCs w:val="24"/>
          <w:lang w:bidi="ar"/>
        </w:rPr>
        <w:t xml:space="preserve"> </w:t>
      </w:r>
    </w:p>
    <w:p>
      <w:pPr>
        <w:pStyle w:val="a6"/>
        <w:widowControl/>
        <w:spacing w:before="120" w:beforeAutospacing="0" w:after="120" w:afterAutospacing="0" w:line="288" w:lineRule="auto"/>
        <w:rPr>
          <w:rFonts w:ascii="微软雅黑" w:eastAsia="微软雅黑" w:hAnsi="微软雅黑" w:cs="微软雅黑"/>
          <w:sz w:val="22"/>
        </w:rPr>
      </w:pPr>
      <w:r>
        <w:rPr>
          <w:rFonts w:ascii="微软雅黑" w:eastAsia="微软雅黑" w:hAnsi="微软雅黑" w:cs="微软雅黑"/>
          <w:sz w:val="22"/>
          <w:lang w:bidi="ar"/>
        </w:rPr>
        <w:t>3.3.3</w:t>
      </w:r>
      <w:proofErr w:type="gramStart"/>
      <w:r>
        <w:rPr>
          <w:rFonts w:ascii="微软雅黑" w:eastAsia="微软雅黑" w:hAnsi="微软雅黑" w:cs="微软雅黑"/>
          <w:sz w:val="22"/>
          <w:lang w:bidi="ar"/>
        </w:rPr>
        <w:t>人岗适配</w:t>
      </w:r>
      <w:proofErr w:type="gramEnd"/>
      <w:r>
        <w:rPr>
          <w:rFonts w:ascii="微软雅黑" w:eastAsia="微软雅黑" w:hAnsi="微软雅黑" w:cs="微软雅黑"/>
          <w:sz w:val="22"/>
          <w:lang w:bidi="ar"/>
        </w:rPr>
        <w:t>分析报告</w:t>
      </w:r>
    </w:p>
    <w:p>
      <w:pPr>
        <w:pStyle w:val="a6"/>
        <w:widowControl/>
        <w:autoSpaceDE w:val="0"/>
        <w:spacing w:beforeAutospacing="0" w:afterAutospacing="0"/>
        <w:ind w:firstLineChars="200" w:firstLine="440"/>
        <w:rPr>
          <w:rFonts w:ascii="仿宋" w:eastAsia="仿宋" w:hAnsi="仿宋" w:cs="仿宋"/>
          <w:sz w:val="22"/>
        </w:rPr>
      </w:pPr>
      <w:proofErr w:type="gramStart"/>
      <w:r>
        <w:rPr>
          <w:rFonts w:ascii="仿宋" w:eastAsia="仿宋" w:hAnsi="仿宋" w:cs="仿宋"/>
          <w:sz w:val="22"/>
          <w:lang w:bidi="ar"/>
        </w:rPr>
        <w:t>人岗适配</w:t>
      </w:r>
      <w:proofErr w:type="gramEnd"/>
      <w:r>
        <w:rPr>
          <w:rFonts w:ascii="仿宋" w:eastAsia="仿宋" w:hAnsi="仿宋" w:cs="仿宋"/>
          <w:sz w:val="22"/>
          <w:lang w:bidi="ar"/>
        </w:rPr>
        <w:t xml:space="preserve">分析报告功能支持用户上传人才培养方案，自主选择对应专业领域并输入报告名称后，系统将通过 AI 算法深度解析方案中的培养目标、课程体系、能力要求等核心信息，结合行业岗位标准与人才需求数据，自动生成聚焦 “培养内容与岗位需求匹配度” </w:t>
      </w:r>
      <w:proofErr w:type="gramStart"/>
      <w:r>
        <w:rPr>
          <w:rFonts w:ascii="仿宋" w:eastAsia="仿宋" w:hAnsi="仿宋" w:cs="仿宋"/>
          <w:sz w:val="22"/>
          <w:lang w:bidi="ar"/>
        </w:rPr>
        <w:t>的人岗适配</w:t>
      </w:r>
      <w:proofErr w:type="gramEnd"/>
      <w:r>
        <w:rPr>
          <w:rFonts w:ascii="仿宋" w:eastAsia="仿宋" w:hAnsi="仿宋" w:cs="仿宋"/>
          <w:sz w:val="22"/>
          <w:lang w:bidi="ar"/>
        </w:rPr>
        <w:t>分析报告，为方案优化、岗位人才供给匹配提供数据支撑。</w:t>
      </w:r>
      <w:proofErr w:type="gramStart"/>
      <w:r>
        <w:rPr>
          <w:rFonts w:ascii="仿宋" w:eastAsia="仿宋" w:hAnsi="仿宋" w:cs="仿宋"/>
          <w:sz w:val="22"/>
          <w:lang w:bidi="ar"/>
        </w:rPr>
        <w:t>人岗适配</w:t>
      </w:r>
      <w:proofErr w:type="gramEnd"/>
      <w:r>
        <w:rPr>
          <w:rFonts w:ascii="仿宋" w:eastAsia="仿宋" w:hAnsi="仿宋" w:cs="仿宋"/>
          <w:sz w:val="22"/>
          <w:lang w:bidi="ar"/>
        </w:rPr>
        <w:t>分析报告具有新增报告、报告导出等功能。</w:t>
      </w:r>
    </w:p>
    <w:p>
      <w:pPr>
        <w:pStyle w:val="a6"/>
        <w:widowControl/>
        <w:autoSpaceDE w:val="0"/>
        <w:spacing w:before="120" w:beforeAutospacing="0" w:after="120" w:afterAutospacing="0" w:line="288" w:lineRule="auto"/>
        <w:ind w:firstLineChars="200" w:firstLine="480"/>
        <w:rPr>
          <w:rFonts w:ascii="Calibri" w:eastAsia="宋体" w:hAnsi="Calibri"/>
          <w:szCs w:val="24"/>
        </w:rPr>
      </w:pPr>
      <w:r>
        <w:rPr>
          <w:rFonts w:ascii="Calibri" w:eastAsia="宋体" w:hAnsi="Calibri"/>
          <w:noProof/>
          <w:szCs w:val="24"/>
        </w:rPr>
        <w:lastRenderedPageBreak/>
        <w:drawing>
          <wp:inline distT="0" distB="0" distL="114300" distR="114300">
            <wp:extent cx="4546600" cy="2641600"/>
            <wp:effectExtent l="0" t="0" r="6350" b="635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宋体" w:hAnsi="Calibri"/>
          <w:szCs w:val="24"/>
          <w:lang w:bidi="ar"/>
        </w:rPr>
        <w:t xml:space="preserve"> </w:t>
      </w:r>
    </w:p>
    <w:p>
      <w:pPr>
        <w:pStyle w:val="a6"/>
        <w:widowControl/>
        <w:numPr>
          <w:ilvl w:val="0"/>
          <w:numId w:val="17"/>
        </w:numPr>
        <w:spacing w:before="120" w:beforeAutospacing="0" w:after="120" w:afterAutospacing="0" w:line="288" w:lineRule="auto"/>
        <w:ind w:firstLine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  <w:lang w:bidi="ar"/>
        </w:rPr>
        <w:t>新增报告</w:t>
      </w:r>
    </w:p>
    <w:p>
      <w:pPr>
        <w:pStyle w:val="a6"/>
        <w:widowControl/>
        <w:spacing w:before="120" w:beforeAutospacing="0" w:after="120" w:afterAutospacing="0" w:line="288" w:lineRule="auto"/>
        <w:ind w:left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  <w:lang w:bidi="ar"/>
        </w:rPr>
        <w:t>用户点击“新增报告”按钮，填写报告名称、专业并上传人</w:t>
      </w:r>
      <w:proofErr w:type="gramStart"/>
      <w:r>
        <w:rPr>
          <w:rFonts w:ascii="仿宋" w:eastAsia="仿宋" w:hAnsi="仿宋" w:cs="仿宋"/>
          <w:sz w:val="22"/>
          <w:lang w:bidi="ar"/>
        </w:rPr>
        <w:t>陪方案</w:t>
      </w:r>
      <w:proofErr w:type="gramEnd"/>
      <w:r>
        <w:rPr>
          <w:rFonts w:ascii="仿宋" w:eastAsia="仿宋" w:hAnsi="仿宋" w:cs="仿宋"/>
          <w:sz w:val="22"/>
          <w:lang w:bidi="ar"/>
        </w:rPr>
        <w:t>后点击“下一步”即可生成报告。</w:t>
      </w:r>
    </w:p>
    <w:p>
      <w:pPr>
        <w:pStyle w:val="a6"/>
        <w:widowControl/>
        <w:spacing w:before="120" w:beforeAutospacing="0" w:after="120" w:afterAutospacing="0" w:line="288" w:lineRule="auto"/>
        <w:ind w:left="420"/>
        <w:rPr>
          <w:rFonts w:ascii="Calibri" w:eastAsia="宋体" w:hAnsi="Calibri"/>
          <w:szCs w:val="24"/>
        </w:rPr>
      </w:pPr>
      <w:r>
        <w:rPr>
          <w:rFonts w:ascii="Calibri" w:eastAsia="宋体" w:hAnsi="Calibri"/>
          <w:noProof/>
          <w:szCs w:val="24"/>
        </w:rPr>
        <w:drawing>
          <wp:inline distT="0" distB="0" distL="114300" distR="114300">
            <wp:extent cx="5727065" cy="2904490"/>
            <wp:effectExtent l="0" t="0" r="6985" b="1016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宋体" w:hAnsi="Calibri"/>
          <w:szCs w:val="24"/>
          <w:lang w:bidi="ar"/>
        </w:rPr>
        <w:t xml:space="preserve"> </w:t>
      </w:r>
    </w:p>
    <w:p>
      <w:pPr>
        <w:pStyle w:val="a6"/>
        <w:widowControl/>
        <w:numPr>
          <w:ilvl w:val="0"/>
          <w:numId w:val="17"/>
        </w:numPr>
        <w:spacing w:before="120" w:beforeAutospacing="0" w:after="120" w:afterAutospacing="0" w:line="288" w:lineRule="auto"/>
        <w:ind w:firstLine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  <w:lang w:bidi="ar"/>
        </w:rPr>
        <w:t>导出报告</w:t>
      </w:r>
    </w:p>
    <w:p>
      <w:pPr>
        <w:pStyle w:val="a6"/>
        <w:widowControl/>
        <w:spacing w:before="120" w:beforeAutospacing="0" w:after="120" w:afterAutospacing="0" w:line="288" w:lineRule="auto"/>
        <w:ind w:left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  <w:lang w:bidi="ar"/>
        </w:rPr>
        <w:t>用户点击“报告导出”可以将生成后的报告进行导出。</w:t>
      </w:r>
    </w:p>
    <w:p>
      <w:pPr>
        <w:pStyle w:val="a6"/>
        <w:widowControl/>
        <w:spacing w:before="120" w:beforeAutospacing="0" w:after="120" w:afterAutospacing="0" w:line="288" w:lineRule="auto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  <w:lang w:bidi="ar"/>
        </w:rPr>
        <w:t>3.3.4课程标准智能辅助</w:t>
      </w:r>
    </w:p>
    <w:p>
      <w:pPr>
        <w:pStyle w:val="a6"/>
        <w:widowControl/>
        <w:autoSpaceDE w:val="0"/>
        <w:spacing w:beforeAutospacing="0" w:afterAutospacing="0"/>
        <w:ind w:firstLineChars="200" w:firstLine="44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  <w:lang w:bidi="ar"/>
        </w:rPr>
        <w:t>课程标准智能辅助功能围绕课程标准制定与优化需求，提供全流程智能支持：可自动生成对应课程的核心知识点，支持用户查看、核验知识点完整性；同时能基于知识点体系或用户需求直接生成规范的课程标准，还可针对现有课程标准从内容适配性、目标合理性等维度进行智能优化，助力高效完成课程标准的构建与迭代。</w:t>
      </w:r>
    </w:p>
    <w:p>
      <w:pPr>
        <w:pStyle w:val="a6"/>
        <w:widowControl/>
        <w:spacing w:before="120" w:beforeAutospacing="0" w:after="120" w:afterAutospacing="0" w:line="288" w:lineRule="auto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  <w:lang w:bidi="ar"/>
        </w:rPr>
        <w:t xml:space="preserve"> </w:t>
      </w:r>
    </w:p>
    <w:p>
      <w:pPr>
        <w:pStyle w:val="a6"/>
        <w:widowControl/>
        <w:spacing w:before="120" w:beforeAutospacing="0" w:after="120" w:afterAutospacing="0" w:line="288" w:lineRule="auto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noProof/>
          <w:sz w:val="22"/>
        </w:rPr>
        <w:lastRenderedPageBreak/>
        <w:drawing>
          <wp:inline distT="0" distB="0" distL="114300" distR="114300">
            <wp:extent cx="5723890" cy="3020695"/>
            <wp:effectExtent l="0" t="0" r="10160" b="825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sz w:val="22"/>
          <w:lang w:bidi="ar"/>
        </w:rPr>
        <w:t xml:space="preserve"> </w:t>
      </w:r>
    </w:p>
    <w:p>
      <w:pPr>
        <w:pStyle w:val="a6"/>
        <w:widowControl/>
        <w:numPr>
          <w:ilvl w:val="0"/>
          <w:numId w:val="18"/>
        </w:numPr>
        <w:spacing w:before="120" w:beforeAutospacing="0" w:after="120" w:afterAutospacing="0" w:line="288" w:lineRule="auto"/>
        <w:ind w:firstLine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  <w:lang w:bidi="ar"/>
        </w:rPr>
        <w:t>分析知识点</w:t>
      </w:r>
    </w:p>
    <w:p>
      <w:pPr>
        <w:pStyle w:val="a6"/>
        <w:widowControl/>
        <w:spacing w:before="120" w:beforeAutospacing="0" w:after="120" w:afterAutospacing="0" w:line="288" w:lineRule="auto"/>
        <w:ind w:left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  <w:lang w:bidi="ar"/>
        </w:rPr>
        <w:t>选择已创建的课程点击“分析知识点”按钮即可分析课程的知识点。分析知识点需消耗一定的时间。生成成功后刷新列表会出现“查看知识点”按钮。</w:t>
      </w:r>
    </w:p>
    <w:p>
      <w:pPr>
        <w:pStyle w:val="a6"/>
        <w:widowControl/>
        <w:spacing w:before="120" w:beforeAutospacing="0" w:after="120" w:afterAutospacing="0" w:line="288" w:lineRule="auto"/>
        <w:ind w:left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noProof/>
          <w:sz w:val="22"/>
        </w:rPr>
        <w:drawing>
          <wp:inline distT="0" distB="0" distL="114300" distR="114300">
            <wp:extent cx="5161280" cy="4421505"/>
            <wp:effectExtent l="0" t="0" r="1270" b="1714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sz w:val="22"/>
          <w:lang w:bidi="ar"/>
        </w:rPr>
        <w:t xml:space="preserve"> </w:t>
      </w:r>
    </w:p>
    <w:p>
      <w:pPr>
        <w:pStyle w:val="a6"/>
        <w:widowControl/>
        <w:numPr>
          <w:ilvl w:val="0"/>
          <w:numId w:val="18"/>
        </w:numPr>
        <w:spacing w:before="120" w:beforeAutospacing="0" w:after="120" w:afterAutospacing="0" w:line="288" w:lineRule="auto"/>
        <w:ind w:firstLine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  <w:lang w:bidi="ar"/>
        </w:rPr>
        <w:t>生成课程标准</w:t>
      </w:r>
    </w:p>
    <w:p>
      <w:pPr>
        <w:pStyle w:val="a6"/>
        <w:widowControl/>
        <w:spacing w:before="120" w:beforeAutospacing="0" w:after="120" w:afterAutospacing="0" w:line="288" w:lineRule="auto"/>
        <w:ind w:left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  <w:lang w:bidi="ar"/>
        </w:rPr>
        <w:lastRenderedPageBreak/>
        <w:t>选择已创建的课程点击“生成课程标准”按钮即可生成课程标准。生成课程标准需消耗一定的时间。生成后可以点击“课程标准列表”进行查看结果</w:t>
      </w:r>
    </w:p>
    <w:p>
      <w:pPr>
        <w:pStyle w:val="a6"/>
        <w:widowControl/>
        <w:numPr>
          <w:ilvl w:val="0"/>
          <w:numId w:val="18"/>
        </w:numPr>
        <w:spacing w:before="120" w:beforeAutospacing="0" w:after="120" w:afterAutospacing="0" w:line="288" w:lineRule="auto"/>
        <w:ind w:firstLine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  <w:lang w:bidi="ar"/>
        </w:rPr>
        <w:t>优化课程标准</w:t>
      </w:r>
    </w:p>
    <w:p>
      <w:pPr>
        <w:pStyle w:val="a6"/>
        <w:widowControl/>
        <w:spacing w:before="120" w:beforeAutospacing="0" w:after="120" w:afterAutospacing="0" w:line="288" w:lineRule="auto"/>
        <w:ind w:left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  <w:lang w:bidi="ar"/>
        </w:rPr>
        <w:t>点击“优化课程标准”按钮即可对当前正在使用的教学标准进行优化。优化需要等待一段时间。优化结束后会展示出优化前及优化后的对比。</w:t>
      </w:r>
    </w:p>
    <w:p>
      <w:pPr>
        <w:pStyle w:val="a6"/>
        <w:widowControl/>
        <w:spacing w:before="120" w:beforeAutospacing="0" w:after="120" w:afterAutospacing="0" w:line="288" w:lineRule="auto"/>
        <w:ind w:left="420"/>
        <w:rPr>
          <w:rFonts w:ascii="Calibri" w:eastAsia="宋体" w:hAnsi="Calibri"/>
          <w:sz w:val="21"/>
          <w:szCs w:val="21"/>
        </w:rPr>
      </w:pPr>
      <w:r>
        <w:rPr>
          <w:rFonts w:ascii="Calibri" w:eastAsia="宋体" w:hAnsi="Calibri" w:hint="eastAsia"/>
          <w:noProof/>
          <w:sz w:val="21"/>
          <w:szCs w:val="21"/>
        </w:rPr>
        <w:drawing>
          <wp:inline distT="0" distB="0" distL="114300" distR="114300">
            <wp:extent cx="5723890" cy="3034030"/>
            <wp:effectExtent l="0" t="0" r="10160" b="1397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宋体" w:hAnsi="Calibri" w:hint="eastAsia"/>
          <w:sz w:val="21"/>
          <w:szCs w:val="21"/>
          <w:lang w:bidi="ar"/>
        </w:rPr>
        <w:t xml:space="preserve"> </w:t>
      </w:r>
    </w:p>
    <w:p>
      <w:pPr>
        <w:pStyle w:val="a6"/>
        <w:widowControl/>
        <w:numPr>
          <w:ilvl w:val="0"/>
          <w:numId w:val="18"/>
        </w:numPr>
        <w:spacing w:before="120" w:beforeAutospacing="0" w:after="120" w:afterAutospacing="0" w:line="288" w:lineRule="auto"/>
        <w:ind w:firstLine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  <w:lang w:bidi="ar"/>
        </w:rPr>
        <w:t>课程标准列表</w:t>
      </w:r>
    </w:p>
    <w:p>
      <w:pPr>
        <w:pStyle w:val="a6"/>
        <w:widowControl/>
        <w:spacing w:before="120" w:beforeAutospacing="0" w:after="120" w:afterAutospacing="0" w:line="288" w:lineRule="auto"/>
        <w:ind w:left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sz w:val="22"/>
          <w:lang w:bidi="ar"/>
        </w:rPr>
        <w:t>点击“课程标准列表”按钮可以查看当前课程所有的课程标准，这些课程表中包含用户上传和系统生成的，并且可以设置课程标准的状态。</w:t>
      </w:r>
    </w:p>
    <w:p>
      <w:pPr>
        <w:pStyle w:val="a6"/>
        <w:widowControl/>
        <w:spacing w:before="120" w:beforeAutospacing="0" w:after="120" w:afterAutospacing="0" w:line="288" w:lineRule="auto"/>
        <w:ind w:left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/>
          <w:noProof/>
          <w:sz w:val="22"/>
        </w:rPr>
        <w:drawing>
          <wp:inline distT="0" distB="0" distL="114300" distR="114300">
            <wp:extent cx="5723890" cy="2124075"/>
            <wp:effectExtent l="0" t="0" r="10160" b="952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sz w:val="22"/>
          <w:lang w:bidi="ar"/>
        </w:rPr>
        <w:t xml:space="preserve"> </w:t>
      </w:r>
    </w:p>
    <w:p>
      <w:pPr>
        <w:rPr>
          <w:rFonts w:ascii="Calibri" w:eastAsia="宋体" w:hAnsi="Calibri" w:cs="Times New Roman"/>
          <w:kern w:val="2"/>
          <w:szCs w:val="21"/>
        </w:rPr>
      </w:pPr>
      <w:r>
        <w:rPr>
          <w:rFonts w:ascii="Calibri" w:eastAsia="宋体" w:hAnsi="Calibri" w:cs="Times New Roman" w:hint="eastAsia"/>
          <w:kern w:val="2"/>
          <w:szCs w:val="21"/>
          <w:lang w:bidi="ar"/>
        </w:rPr>
        <w:t xml:space="preserve"> </w:t>
      </w:r>
    </w:p>
    <w:p>
      <w:pPr>
        <w:pStyle w:val="a6"/>
        <w:widowControl/>
        <w:spacing w:before="120" w:beforeAutospacing="0" w:after="120" w:afterAutospacing="0" w:line="288" w:lineRule="auto"/>
        <w:rPr>
          <w:rFonts w:ascii="仿宋" w:eastAsia="仿宋" w:hAnsi="仿宋" w:cs="仿宋"/>
          <w:sz w:val="22"/>
          <w:lang w:bidi="ar"/>
        </w:rPr>
      </w:pPr>
      <w:r>
        <w:rPr>
          <w:rFonts w:ascii="Calibri" w:eastAsia="宋体" w:hAnsi="Calibri" w:hint="eastAsia"/>
          <w:sz w:val="21"/>
          <w:szCs w:val="21"/>
          <w:lang w:bidi="ar"/>
        </w:rPr>
        <w:t xml:space="preserve"> </w:t>
      </w:r>
      <w:r>
        <w:rPr>
          <w:rFonts w:ascii="仿宋" w:eastAsia="仿宋" w:hAnsi="仿宋" w:cs="仿宋"/>
          <w:sz w:val="22"/>
          <w:lang w:bidi="ar"/>
        </w:rPr>
        <w:t>3.3.5实</w:t>
      </w:r>
      <w:proofErr w:type="gramStart"/>
      <w:r>
        <w:rPr>
          <w:rFonts w:ascii="仿宋" w:eastAsia="仿宋" w:hAnsi="仿宋" w:cs="仿宋"/>
          <w:sz w:val="22"/>
          <w:lang w:bidi="ar"/>
        </w:rPr>
        <w:t>训建设</w:t>
      </w:r>
      <w:proofErr w:type="gramEnd"/>
      <w:r>
        <w:rPr>
          <w:rFonts w:ascii="仿宋" w:eastAsia="仿宋" w:hAnsi="仿宋" w:cs="仿宋"/>
          <w:sz w:val="22"/>
          <w:lang w:bidi="ar"/>
        </w:rPr>
        <w:t>方案智能生成</w:t>
      </w:r>
    </w:p>
    <w:p>
      <w:pPr>
        <w:pStyle w:val="a6"/>
        <w:widowControl/>
        <w:autoSpaceDE w:val="0"/>
        <w:spacing w:beforeAutospacing="0" w:afterAutospacing="0"/>
        <w:ind w:firstLineChars="200" w:firstLine="440"/>
        <w:rPr>
          <w:rFonts w:ascii="仿宋" w:eastAsia="仿宋" w:hAnsi="仿宋" w:cs="仿宋"/>
          <w:sz w:val="22"/>
          <w:lang w:bidi="ar"/>
        </w:rPr>
      </w:pPr>
      <w:r>
        <w:rPr>
          <w:rFonts w:ascii="仿宋" w:eastAsia="仿宋" w:hAnsi="仿宋" w:cs="仿宋"/>
          <w:sz w:val="22"/>
          <w:lang w:bidi="ar"/>
        </w:rPr>
        <w:t>实</w:t>
      </w:r>
      <w:proofErr w:type="gramStart"/>
      <w:r>
        <w:rPr>
          <w:rFonts w:ascii="仿宋" w:eastAsia="仿宋" w:hAnsi="仿宋" w:cs="仿宋"/>
          <w:sz w:val="22"/>
          <w:lang w:bidi="ar"/>
        </w:rPr>
        <w:t>训建设</w:t>
      </w:r>
      <w:proofErr w:type="gramEnd"/>
      <w:r>
        <w:rPr>
          <w:rFonts w:ascii="仿宋" w:eastAsia="仿宋" w:hAnsi="仿宋" w:cs="仿宋"/>
          <w:sz w:val="22"/>
          <w:lang w:bidi="ar"/>
        </w:rPr>
        <w:t>方案智能生成功能，以用户选定的专业领域、设定的预算价格为核心依据，提供全流程实</w:t>
      </w:r>
      <w:proofErr w:type="gramStart"/>
      <w:r>
        <w:rPr>
          <w:rFonts w:ascii="仿宋" w:eastAsia="仿宋" w:hAnsi="仿宋" w:cs="仿宋"/>
          <w:sz w:val="22"/>
          <w:lang w:bidi="ar"/>
        </w:rPr>
        <w:t>训方案</w:t>
      </w:r>
      <w:proofErr w:type="gramEnd"/>
      <w:r>
        <w:rPr>
          <w:rFonts w:ascii="仿宋" w:eastAsia="仿宋" w:hAnsi="仿宋" w:cs="仿宋"/>
          <w:sz w:val="22"/>
          <w:lang w:bidi="ar"/>
        </w:rPr>
        <w:t>支持：可自动匹配专业实</w:t>
      </w:r>
      <w:proofErr w:type="gramStart"/>
      <w:r>
        <w:rPr>
          <w:rFonts w:ascii="仿宋" w:eastAsia="仿宋" w:hAnsi="仿宋" w:cs="仿宋"/>
          <w:sz w:val="22"/>
          <w:lang w:bidi="ar"/>
        </w:rPr>
        <w:t>训需求</w:t>
      </w:r>
      <w:proofErr w:type="gramEnd"/>
      <w:r>
        <w:rPr>
          <w:rFonts w:ascii="仿宋" w:eastAsia="仿宋" w:hAnsi="仿宋" w:cs="仿宋"/>
          <w:sz w:val="22"/>
          <w:lang w:bidi="ar"/>
        </w:rPr>
        <w:t>与预算适配资源，生成符合教学目标的实</w:t>
      </w:r>
      <w:proofErr w:type="gramStart"/>
      <w:r>
        <w:rPr>
          <w:rFonts w:ascii="仿宋" w:eastAsia="仿宋" w:hAnsi="仿宋" w:cs="仿宋"/>
          <w:sz w:val="22"/>
          <w:lang w:bidi="ar"/>
        </w:rPr>
        <w:t>训建</w:t>
      </w:r>
      <w:r>
        <w:rPr>
          <w:rFonts w:ascii="仿宋" w:eastAsia="仿宋" w:hAnsi="仿宋" w:cs="仿宋"/>
          <w:sz w:val="22"/>
          <w:lang w:bidi="ar"/>
        </w:rPr>
        <w:lastRenderedPageBreak/>
        <w:t>设</w:t>
      </w:r>
      <w:proofErr w:type="gramEnd"/>
      <w:r>
        <w:rPr>
          <w:rFonts w:ascii="仿宋" w:eastAsia="仿宋" w:hAnsi="仿宋" w:cs="仿宋"/>
          <w:sz w:val="22"/>
          <w:lang w:bidi="ar"/>
        </w:rPr>
        <w:t>方案；能针对现有方案从资源合理性、成本可控性、目标匹配度等维度进行智能优化；同时支持用户按专业、预算、方案类型等条件快速查询历史方案，助力高效完成实</w:t>
      </w:r>
      <w:proofErr w:type="gramStart"/>
      <w:r>
        <w:rPr>
          <w:rFonts w:ascii="仿宋" w:eastAsia="仿宋" w:hAnsi="仿宋" w:cs="仿宋"/>
          <w:sz w:val="22"/>
          <w:lang w:bidi="ar"/>
        </w:rPr>
        <w:t>训建设</w:t>
      </w:r>
      <w:proofErr w:type="gramEnd"/>
      <w:r>
        <w:rPr>
          <w:rFonts w:ascii="仿宋" w:eastAsia="仿宋" w:hAnsi="仿宋" w:cs="仿宋"/>
          <w:sz w:val="22"/>
          <w:lang w:bidi="ar"/>
        </w:rPr>
        <w:t>方案的制定、迭代与复用。</w:t>
      </w:r>
    </w:p>
    <w:p>
      <w:pPr>
        <w:pStyle w:val="a6"/>
        <w:widowControl/>
        <w:autoSpaceDE w:val="0"/>
        <w:spacing w:beforeAutospacing="0" w:afterAutospacing="0"/>
        <w:ind w:firstLineChars="200" w:firstLine="440"/>
        <w:rPr>
          <w:rFonts w:ascii="仿宋" w:eastAsia="仿宋" w:hAnsi="仿宋" w:cs="仿宋"/>
          <w:sz w:val="22"/>
          <w:lang w:bidi="ar"/>
        </w:rPr>
      </w:pPr>
      <w:r>
        <w:rPr>
          <w:rFonts w:ascii="仿宋" w:eastAsia="仿宋" w:hAnsi="仿宋" w:cs="仿宋" w:hint="eastAsia"/>
          <w:noProof/>
          <w:sz w:val="22"/>
        </w:rPr>
        <w:drawing>
          <wp:inline distT="0" distB="0" distL="114300" distR="114300">
            <wp:extent cx="5718810" cy="3046730"/>
            <wp:effectExtent l="0" t="0" r="15240" b="127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6"/>
        <w:widowControl/>
        <w:numPr>
          <w:ilvl w:val="0"/>
          <w:numId w:val="19"/>
        </w:numPr>
        <w:spacing w:before="120" w:beforeAutospacing="0" w:after="120" w:afterAutospacing="0" w:line="288" w:lineRule="auto"/>
        <w:ind w:firstLine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 w:hint="eastAsia"/>
          <w:sz w:val="22"/>
        </w:rPr>
        <w:t>新增方案</w:t>
      </w:r>
    </w:p>
    <w:p>
      <w:pPr>
        <w:pStyle w:val="a6"/>
        <w:widowControl/>
        <w:spacing w:before="120" w:beforeAutospacing="0" w:after="120" w:afterAutospacing="0" w:line="288" w:lineRule="auto"/>
        <w:ind w:left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 w:hint="eastAsia"/>
          <w:sz w:val="22"/>
        </w:rPr>
        <w:t>点击“新增方案”按钮，根据表单内容进行填写信息后点击保存会自动生成方案。</w:t>
      </w:r>
    </w:p>
    <w:p>
      <w:pPr>
        <w:pStyle w:val="a6"/>
        <w:widowControl/>
        <w:spacing w:before="120" w:beforeAutospacing="0" w:after="120" w:afterAutospacing="0" w:line="288" w:lineRule="auto"/>
        <w:ind w:left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 w:hint="eastAsia"/>
          <w:noProof/>
          <w:sz w:val="22"/>
        </w:rPr>
        <w:drawing>
          <wp:inline distT="0" distB="0" distL="114300" distR="114300">
            <wp:extent cx="5725160" cy="3779520"/>
            <wp:effectExtent l="0" t="0" r="8890" b="1143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6"/>
        <w:widowControl/>
        <w:numPr>
          <w:ilvl w:val="0"/>
          <w:numId w:val="19"/>
        </w:numPr>
        <w:spacing w:before="120" w:beforeAutospacing="0" w:after="120" w:afterAutospacing="0" w:line="288" w:lineRule="auto"/>
        <w:ind w:firstLine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 w:hint="eastAsia"/>
          <w:sz w:val="22"/>
        </w:rPr>
        <w:t>方案导出</w:t>
      </w:r>
    </w:p>
    <w:p>
      <w:pPr>
        <w:pStyle w:val="a6"/>
        <w:widowControl/>
        <w:spacing w:before="120" w:beforeAutospacing="0" w:after="120" w:afterAutospacing="0" w:line="288" w:lineRule="auto"/>
        <w:ind w:left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 w:hint="eastAsia"/>
          <w:sz w:val="22"/>
        </w:rPr>
        <w:t>点击“方案导出”按钮，可以将生产后的方案进行导出。</w:t>
      </w:r>
    </w:p>
    <w:p>
      <w:pPr>
        <w:pStyle w:val="a6"/>
        <w:widowControl/>
        <w:numPr>
          <w:ilvl w:val="0"/>
          <w:numId w:val="19"/>
        </w:numPr>
        <w:spacing w:before="120" w:beforeAutospacing="0" w:after="120" w:afterAutospacing="0" w:line="288" w:lineRule="auto"/>
        <w:ind w:firstLine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 w:hint="eastAsia"/>
          <w:sz w:val="22"/>
        </w:rPr>
        <w:lastRenderedPageBreak/>
        <w:t>优化方案</w:t>
      </w:r>
    </w:p>
    <w:p>
      <w:pPr>
        <w:pStyle w:val="a6"/>
        <w:widowControl/>
        <w:spacing w:before="120" w:beforeAutospacing="0" w:after="120" w:afterAutospacing="0" w:line="288" w:lineRule="auto"/>
        <w:ind w:left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 w:hint="eastAsia"/>
          <w:sz w:val="22"/>
        </w:rPr>
        <w:t>点击“优化方案”按钮，根据表单内容进行填写信息，</w:t>
      </w:r>
      <w:proofErr w:type="gramStart"/>
      <w:r>
        <w:rPr>
          <w:rFonts w:ascii="仿宋" w:eastAsia="仿宋" w:hAnsi="仿宋" w:cs="仿宋" w:hint="eastAsia"/>
          <w:sz w:val="22"/>
        </w:rPr>
        <w:t>上传要优化</w:t>
      </w:r>
      <w:proofErr w:type="gramEnd"/>
      <w:r>
        <w:rPr>
          <w:rFonts w:ascii="仿宋" w:eastAsia="仿宋" w:hAnsi="仿宋" w:cs="仿宋" w:hint="eastAsia"/>
          <w:sz w:val="22"/>
        </w:rPr>
        <w:t>的方案点击下一步进行优化。优化完成后可以进行下载。</w:t>
      </w:r>
    </w:p>
    <w:p>
      <w:pPr>
        <w:pStyle w:val="a6"/>
        <w:widowControl/>
        <w:spacing w:before="120" w:beforeAutospacing="0" w:after="120" w:afterAutospacing="0" w:line="288" w:lineRule="auto"/>
        <w:ind w:left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 w:hint="eastAsia"/>
          <w:noProof/>
          <w:sz w:val="22"/>
        </w:rPr>
        <w:drawing>
          <wp:inline distT="0" distB="0" distL="114300" distR="114300">
            <wp:extent cx="5723890" cy="2449830"/>
            <wp:effectExtent l="0" t="0" r="10160" b="762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6"/>
        <w:widowControl/>
        <w:numPr>
          <w:ilvl w:val="0"/>
          <w:numId w:val="19"/>
        </w:numPr>
        <w:spacing w:before="120" w:beforeAutospacing="0" w:after="120" w:afterAutospacing="0" w:line="288" w:lineRule="auto"/>
        <w:ind w:firstLine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 w:hint="eastAsia"/>
          <w:sz w:val="22"/>
        </w:rPr>
        <w:t>刷新进度</w:t>
      </w:r>
    </w:p>
    <w:p>
      <w:pPr>
        <w:pStyle w:val="a6"/>
        <w:widowControl/>
        <w:spacing w:before="120" w:beforeAutospacing="0" w:after="120" w:afterAutospacing="0" w:line="288" w:lineRule="auto"/>
        <w:ind w:left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 w:hint="eastAsia"/>
          <w:sz w:val="22"/>
        </w:rPr>
        <w:t>点击“刷新进度”按钮，可以刷新实</w:t>
      </w:r>
      <w:proofErr w:type="gramStart"/>
      <w:r>
        <w:rPr>
          <w:rFonts w:ascii="仿宋" w:eastAsia="仿宋" w:hAnsi="仿宋" w:cs="仿宋" w:hint="eastAsia"/>
          <w:sz w:val="22"/>
        </w:rPr>
        <w:t>训建设</w:t>
      </w:r>
      <w:proofErr w:type="gramEnd"/>
      <w:r>
        <w:rPr>
          <w:rFonts w:ascii="仿宋" w:eastAsia="仿宋" w:hAnsi="仿宋" w:cs="仿宋" w:hint="eastAsia"/>
          <w:sz w:val="22"/>
        </w:rPr>
        <w:t>方案生成进度。</w:t>
      </w:r>
    </w:p>
    <w:p>
      <w:pPr>
        <w:pStyle w:val="a6"/>
        <w:widowControl/>
        <w:numPr>
          <w:ilvl w:val="0"/>
          <w:numId w:val="19"/>
        </w:numPr>
        <w:spacing w:before="120" w:beforeAutospacing="0" w:after="120" w:afterAutospacing="0" w:line="288" w:lineRule="auto"/>
        <w:ind w:firstLine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 w:hint="eastAsia"/>
          <w:sz w:val="22"/>
        </w:rPr>
        <w:t>删除</w:t>
      </w:r>
    </w:p>
    <w:p>
      <w:pPr>
        <w:pStyle w:val="a6"/>
        <w:widowControl/>
        <w:spacing w:before="120" w:beforeAutospacing="0" w:after="120" w:afterAutospacing="0" w:line="288" w:lineRule="auto"/>
        <w:ind w:left="420"/>
        <w:rPr>
          <w:rFonts w:ascii="仿宋" w:eastAsia="仿宋" w:hAnsi="仿宋" w:cs="仿宋"/>
          <w:sz w:val="22"/>
        </w:rPr>
      </w:pPr>
      <w:r>
        <w:rPr>
          <w:rFonts w:ascii="仿宋" w:eastAsia="仿宋" w:hAnsi="仿宋" w:cs="仿宋" w:hint="eastAsia"/>
          <w:sz w:val="22"/>
        </w:rPr>
        <w:t>点击“删除按钮”按钮，可以删除实</w:t>
      </w:r>
      <w:proofErr w:type="gramStart"/>
      <w:r>
        <w:rPr>
          <w:rFonts w:ascii="仿宋" w:eastAsia="仿宋" w:hAnsi="仿宋" w:cs="仿宋" w:hint="eastAsia"/>
          <w:sz w:val="22"/>
        </w:rPr>
        <w:t>训建设</w:t>
      </w:r>
      <w:proofErr w:type="gramEnd"/>
      <w:r>
        <w:rPr>
          <w:rFonts w:ascii="仿宋" w:eastAsia="仿宋" w:hAnsi="仿宋" w:cs="仿宋" w:hint="eastAsia"/>
          <w:sz w:val="22"/>
        </w:rPr>
        <w:t>方案。</w:t>
      </w:r>
    </w:p>
    <w:p>
      <w:pPr>
        <w:pStyle w:val="a6"/>
        <w:widowControl/>
        <w:spacing w:before="120" w:beforeAutospacing="0" w:after="120" w:afterAutospacing="0" w:line="288" w:lineRule="auto"/>
        <w:ind w:left="420"/>
        <w:rPr>
          <w:rFonts w:ascii="仿宋" w:eastAsia="仿宋" w:hAnsi="仿宋" w:cs="仿宋"/>
          <w:sz w:val="22"/>
        </w:rPr>
      </w:pPr>
    </w:p>
    <w:p>
      <w:pPr>
        <w:pStyle w:val="Style13"/>
        <w:rPr>
          <w:rFonts w:ascii="微软雅黑" w:eastAsia="微软雅黑" w:hAnsi="微软雅黑" w:cs="微软雅黑"/>
        </w:rPr>
      </w:pPr>
    </w:p>
    <w:sectPr>
      <w:headerReference w:type="default" r:id="rId89"/>
      <w:footerReference w:type="default" r:id="rId90"/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仿宋_GBK">
    <w:charset w:val="86"/>
    <w:family w:val="auto"/>
    <w:pitch w:val="default"/>
    <w:sig w:usb0="A00002BF" w:usb1="38CF7CFA" w:usb2="00082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4"/>
      <w:wordWrap w:val="0"/>
      <w:jc w:val="right"/>
    </w:pPr>
    <w:r>
      <w:rPr>
        <w:rFonts w:hint="eastAsia"/>
      </w:rPr>
      <w:tab/>
    </w:r>
    <w:r>
      <w:rPr>
        <w:rFonts w:hint="eastAsia"/>
      </w:rPr>
      <w:tab/>
      <w:t xml:space="preserve">  v1.0 </w:t>
    </w:r>
  </w:p>
  <w:p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4"/>
    </w:pPr>
    <w:r>
      <w:rPr>
        <w:rFonts w:hint="eastAsia"/>
      </w:rPr>
      <w:t>《专业发展服务平台操作手册》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69E561F"/>
    <w:multiLevelType w:val="multilevel"/>
    <w:tmpl w:val="A69E561F"/>
    <w:lvl w:ilvl="0">
      <w:start w:val="1"/>
      <w:numFmt w:val="bullet"/>
      <w:lvlText w:val="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4200"/>
        </w:tabs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620"/>
        </w:tabs>
        <w:ind w:left="4620" w:hanging="420"/>
      </w:pPr>
      <w:rPr>
        <w:rFonts w:ascii="Wingdings" w:hAnsi="Wingdings" w:hint="default"/>
      </w:rPr>
    </w:lvl>
  </w:abstractNum>
  <w:abstractNum w:abstractNumId="1">
    <w:nsid w:val="B67FF9B2"/>
    <w:multiLevelType w:val="singleLevel"/>
    <w:tmpl w:val="B67FF9B2"/>
    <w:lvl w:ilvl="0">
      <w:start w:val="1"/>
      <w:numFmt w:val="decimal"/>
      <w:suff w:val="nothing"/>
      <w:lvlText w:val="（%1）"/>
      <w:lvlJc w:val="left"/>
    </w:lvl>
  </w:abstractNum>
  <w:abstractNum w:abstractNumId="2">
    <w:nsid w:val="B6BE0AEC"/>
    <w:multiLevelType w:val="singleLevel"/>
    <w:tmpl w:val="B6BE0AEC"/>
    <w:lvl w:ilvl="0">
      <w:start w:val="1"/>
      <w:numFmt w:val="decimal"/>
      <w:suff w:val="nothing"/>
      <w:lvlText w:val="（%1）"/>
      <w:lvlJc w:val="left"/>
    </w:lvl>
  </w:abstractNum>
  <w:abstractNum w:abstractNumId="3">
    <w:nsid w:val="B7B5FC4A"/>
    <w:multiLevelType w:val="multilevel"/>
    <w:tmpl w:val="B7B5FC4A"/>
    <w:lvl w:ilvl="0">
      <w:start w:val="1"/>
      <w:numFmt w:val="bullet"/>
      <w:lvlText w:val="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4200"/>
        </w:tabs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620"/>
        </w:tabs>
        <w:ind w:left="4620" w:hanging="420"/>
      </w:pPr>
      <w:rPr>
        <w:rFonts w:ascii="Wingdings" w:hAnsi="Wingdings" w:hint="default"/>
      </w:rPr>
    </w:lvl>
  </w:abstractNum>
  <w:abstractNum w:abstractNumId="4">
    <w:nsid w:val="B9917E17"/>
    <w:multiLevelType w:val="multilevel"/>
    <w:tmpl w:val="B9917E17"/>
    <w:lvl w:ilvl="0">
      <w:start w:val="1"/>
      <w:numFmt w:val="decimal"/>
      <w:suff w:val="nothing"/>
      <w:lvlText w:val="（%1）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D576DE5C"/>
    <w:multiLevelType w:val="multilevel"/>
    <w:tmpl w:val="D576DE5C"/>
    <w:lvl w:ilvl="0">
      <w:start w:val="1"/>
      <w:numFmt w:val="decimal"/>
      <w:suff w:val="nothing"/>
      <w:lvlText w:val="（%1）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DFD26099"/>
    <w:multiLevelType w:val="singleLevel"/>
    <w:tmpl w:val="DFD26099"/>
    <w:lvl w:ilvl="0">
      <w:start w:val="1"/>
      <w:numFmt w:val="decimal"/>
      <w:suff w:val="nothing"/>
      <w:lvlText w:val="（%1）"/>
      <w:lvlJc w:val="left"/>
    </w:lvl>
  </w:abstractNum>
  <w:abstractNum w:abstractNumId="7">
    <w:nsid w:val="DFEFCE58"/>
    <w:multiLevelType w:val="multilevel"/>
    <w:tmpl w:val="DFEFCE58"/>
    <w:lvl w:ilvl="0">
      <w:start w:val="1"/>
      <w:numFmt w:val="bullet"/>
      <w:lvlText w:val="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4200"/>
        </w:tabs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620"/>
        </w:tabs>
        <w:ind w:left="4620" w:hanging="420"/>
      </w:pPr>
      <w:rPr>
        <w:rFonts w:ascii="Wingdings" w:hAnsi="Wingdings" w:hint="default"/>
      </w:rPr>
    </w:lvl>
  </w:abstractNum>
  <w:abstractNum w:abstractNumId="8">
    <w:nsid w:val="EFBD091A"/>
    <w:multiLevelType w:val="singleLevel"/>
    <w:tmpl w:val="EFBD091A"/>
    <w:lvl w:ilvl="0">
      <w:start w:val="1"/>
      <w:numFmt w:val="decimal"/>
      <w:suff w:val="nothing"/>
      <w:lvlText w:val="（%1）"/>
      <w:lvlJc w:val="left"/>
    </w:lvl>
  </w:abstractNum>
  <w:abstractNum w:abstractNumId="9">
    <w:nsid w:val="F27761E1"/>
    <w:multiLevelType w:val="singleLevel"/>
    <w:tmpl w:val="F27761E1"/>
    <w:lvl w:ilvl="0">
      <w:start w:val="1"/>
      <w:numFmt w:val="decimal"/>
      <w:suff w:val="nothing"/>
      <w:lvlText w:val="（%1）"/>
      <w:lvlJc w:val="left"/>
    </w:lvl>
  </w:abstractNum>
  <w:abstractNum w:abstractNumId="10">
    <w:nsid w:val="FBBE0BDD"/>
    <w:multiLevelType w:val="singleLevel"/>
    <w:tmpl w:val="FBBE0BDD"/>
    <w:lvl w:ilvl="0">
      <w:start w:val="1"/>
      <w:numFmt w:val="decimal"/>
      <w:suff w:val="nothing"/>
      <w:lvlText w:val="（%1）"/>
      <w:lvlJc w:val="left"/>
    </w:lvl>
  </w:abstractNum>
  <w:abstractNum w:abstractNumId="11">
    <w:nsid w:val="FCD706C4"/>
    <w:multiLevelType w:val="singleLevel"/>
    <w:tmpl w:val="FCD706C4"/>
    <w:lvl w:ilvl="0">
      <w:start w:val="1"/>
      <w:numFmt w:val="decimal"/>
      <w:suff w:val="nothing"/>
      <w:lvlText w:val="（%1）"/>
      <w:lvlJc w:val="left"/>
    </w:lvl>
  </w:abstractNum>
  <w:abstractNum w:abstractNumId="12">
    <w:nsid w:val="FFDA0F80"/>
    <w:multiLevelType w:val="singleLevel"/>
    <w:tmpl w:val="FFDA0F80"/>
    <w:lvl w:ilvl="0">
      <w:start w:val="1"/>
      <w:numFmt w:val="decimal"/>
      <w:suff w:val="nothing"/>
      <w:lvlText w:val="（%1）"/>
      <w:lvlJc w:val="left"/>
    </w:lvl>
  </w:abstractNum>
  <w:abstractNum w:abstractNumId="13">
    <w:nsid w:val="FFF4EED7"/>
    <w:multiLevelType w:val="multilevel"/>
    <w:tmpl w:val="FFF4EED7"/>
    <w:lvl w:ilvl="0">
      <w:start w:val="1"/>
      <w:numFmt w:val="decimal"/>
      <w:suff w:val="nothing"/>
      <w:lvlText w:val="（%1）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4">
    <w:nsid w:val="2FCFD1E0"/>
    <w:multiLevelType w:val="multilevel"/>
    <w:tmpl w:val="2FCFD1E0"/>
    <w:lvl w:ilvl="0">
      <w:start w:val="1"/>
      <w:numFmt w:val="decimal"/>
      <w:suff w:val="nothing"/>
      <w:lvlText w:val="（%1）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5">
    <w:nsid w:val="3F57EE97"/>
    <w:multiLevelType w:val="multilevel"/>
    <w:tmpl w:val="3F57EE97"/>
    <w:lvl w:ilvl="0">
      <w:start w:val="1"/>
      <w:numFmt w:val="decimal"/>
      <w:suff w:val="nothing"/>
      <w:lvlText w:val="（%1）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6">
    <w:nsid w:val="5CEE3989"/>
    <w:multiLevelType w:val="multilevel"/>
    <w:tmpl w:val="5CEE398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3"/>
  </w:num>
  <w:num w:numId="5">
    <w:abstractNumId w:val="10"/>
  </w:num>
  <w:num w:numId="6">
    <w:abstractNumId w:val="1"/>
  </w:num>
  <w:num w:numId="7">
    <w:abstractNumId w:val="2"/>
  </w:num>
  <w:num w:numId="8">
    <w:abstractNumId w:val="9"/>
  </w:num>
  <w:num w:numId="9">
    <w:abstractNumId w:val="16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bullet"/>
        <w:lvlRestart w:val="0"/>
        <w:lvlText w:val="o"/>
        <w:lvlJc w:val="left"/>
        <w:pPr>
          <w:tabs>
            <w:tab w:val="left" w:pos="2160"/>
          </w:tabs>
          <w:ind w:left="2160" w:hanging="360"/>
        </w:pPr>
        <w:rPr>
          <w:rFonts w:ascii="Courier New" w:hAnsi="Courier New" w:cs="Times New Roman" w:hint="default"/>
          <w:sz w:val="20"/>
        </w:rPr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>
    <w:abstractNumId w:val="16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bullet"/>
        <w:lvlRestart w:val="0"/>
        <w:lvlText w:val="o"/>
        <w:lvlJc w:val="left"/>
        <w:pPr>
          <w:tabs>
            <w:tab w:val="left" w:pos="2160"/>
          </w:tabs>
          <w:ind w:left="2160" w:hanging="360"/>
        </w:pPr>
        <w:rPr>
          <w:rFonts w:ascii="Courier New" w:hAnsi="Courier New" w:cs="Times New Roman" w:hint="default"/>
          <w:sz w:val="20"/>
        </w:rPr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>
    <w:abstractNumId w:val="16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bullet"/>
        <w:lvlRestart w:val="0"/>
        <w:lvlText w:val="o"/>
        <w:lvlJc w:val="left"/>
        <w:pPr>
          <w:tabs>
            <w:tab w:val="left" w:pos="2160"/>
          </w:tabs>
          <w:ind w:left="2160" w:hanging="360"/>
        </w:pPr>
        <w:rPr>
          <w:rFonts w:ascii="Courier New" w:hAnsi="Courier New" w:cs="Times New Roman" w:hint="default"/>
          <w:sz w:val="20"/>
        </w:rPr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>
    <w:abstractNumId w:val="12"/>
  </w:num>
  <w:num w:numId="13">
    <w:abstractNumId w:val="6"/>
  </w:num>
  <w:num w:numId="14">
    <w:abstractNumId w:val="11"/>
  </w:num>
  <w:num w:numId="15">
    <w:abstractNumId w:val="5"/>
  </w:num>
  <w:num w:numId="16">
    <w:abstractNumId w:val="14"/>
  </w:num>
  <w:num w:numId="17">
    <w:abstractNumId w:val="15"/>
  </w:num>
  <w:num w:numId="18">
    <w:abstractNumId w:val="13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revisionView w:inkAnnotations="0"/>
  <w:defaultTabStop w:val="4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doNotWrapTextWithPunct/>
    <w:doNotUseEastAsianBreakRules/>
    <w:useFELayout/>
    <w:compatSetting w:name="compatibilityMode" w:uri="http://schemas.microsoft.com/office/word" w:val="14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semiHidden="1" w:uiPriority="99" w:unhideWhenUsed="1" w:qFormat="1"/>
    <w:lsdException w:name="header" w:qFormat="1"/>
    <w:lsdException w:name="footer" w:qFormat="1"/>
    <w:lsdException w:name="caption" w:semiHidden="1" w:unhideWhenUsed="1" w:qFormat="1"/>
    <w:lsdException w:name="footnote reference" w:semiHidden="1" w:uiPriority="99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sz w:val="21"/>
      <w:szCs w:val="22"/>
    </w:rPr>
  </w:style>
  <w:style w:type="paragraph" w:styleId="1">
    <w:name w:val="heading 1"/>
    <w:next w:val="a"/>
    <w:qFormat/>
    <w:pPr>
      <w:spacing w:before="380" w:after="140" w:line="288" w:lineRule="auto"/>
      <w:outlineLvl w:val="0"/>
    </w:pPr>
    <w:rPr>
      <w:rFonts w:ascii="Arial" w:eastAsia="等线" w:hAnsi="Arial" w:cs="Arial"/>
      <w:b/>
      <w:bCs/>
      <w:sz w:val="36"/>
      <w:szCs w:val="36"/>
    </w:rPr>
  </w:style>
  <w:style w:type="paragraph" w:styleId="2">
    <w:name w:val="heading 2"/>
    <w:next w:val="a"/>
    <w:link w:val="2Char"/>
    <w:qFormat/>
    <w:pPr>
      <w:spacing w:before="320" w:after="120" w:line="288" w:lineRule="auto"/>
      <w:outlineLvl w:val="1"/>
    </w:pPr>
    <w:rPr>
      <w:rFonts w:ascii="Arial" w:eastAsia="等线" w:hAnsi="Arial" w:cs="Arial"/>
      <w:b/>
      <w:bCs/>
      <w:sz w:val="32"/>
      <w:szCs w:val="32"/>
    </w:rPr>
  </w:style>
  <w:style w:type="paragraph" w:styleId="3">
    <w:name w:val="heading 3"/>
    <w:next w:val="a"/>
    <w:qFormat/>
    <w:pPr>
      <w:spacing w:before="300" w:after="120" w:line="288" w:lineRule="auto"/>
      <w:outlineLvl w:val="2"/>
    </w:pPr>
    <w:rPr>
      <w:rFonts w:ascii="Arial" w:eastAsia="等线" w:hAnsi="Arial" w:cs="Arial"/>
      <w:b/>
      <w:bCs/>
      <w:sz w:val="30"/>
      <w:szCs w:val="30"/>
    </w:rPr>
  </w:style>
  <w:style w:type="paragraph" w:styleId="4">
    <w:name w:val="heading 4"/>
    <w:next w:val="a"/>
    <w:qFormat/>
    <w:pPr>
      <w:spacing w:before="260" w:after="120" w:line="288" w:lineRule="auto"/>
      <w:outlineLvl w:val="3"/>
    </w:pPr>
    <w:rPr>
      <w:rFonts w:ascii="Arial" w:eastAsia="等线" w:hAnsi="Arial" w:cs="Arial"/>
      <w:b/>
      <w:bCs/>
      <w:sz w:val="28"/>
      <w:szCs w:val="28"/>
    </w:rPr>
  </w:style>
  <w:style w:type="paragraph" w:styleId="5">
    <w:name w:val="heading 5"/>
    <w:next w:val="a"/>
    <w:qFormat/>
    <w:pPr>
      <w:spacing w:before="240" w:after="120" w:line="288" w:lineRule="auto"/>
      <w:outlineLvl w:val="4"/>
    </w:pPr>
    <w:rPr>
      <w:rFonts w:ascii="Arial" w:eastAsia="等线" w:hAnsi="Arial" w:cs="Arial"/>
      <w:b/>
      <w:bCs/>
      <w:sz w:val="24"/>
      <w:szCs w:val="24"/>
    </w:rPr>
  </w:style>
  <w:style w:type="paragraph" w:styleId="6">
    <w:name w:val="heading 6"/>
    <w:next w:val="a"/>
    <w:qFormat/>
    <w:pPr>
      <w:spacing w:before="240" w:after="120" w:line="288" w:lineRule="auto"/>
      <w:outlineLvl w:val="5"/>
    </w:pPr>
    <w:rPr>
      <w:rFonts w:ascii="Arial" w:eastAsia="等线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note text"/>
    <w:link w:val="Char"/>
    <w:uiPriority w:val="99"/>
    <w:semiHidden/>
    <w:unhideWhenUsed/>
    <w:qFormat/>
    <w:rPr>
      <w:rFonts w:asciiTheme="minorHAnsi" w:eastAsiaTheme="minorEastAsia" w:hAnsiTheme="minorHAnsi" w:cstheme="minorBidi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sz w:val="24"/>
    </w:rPr>
  </w:style>
  <w:style w:type="paragraph" w:styleId="a7">
    <w:name w:val="Title"/>
    <w:qFormat/>
    <w:pPr>
      <w:spacing w:before="480" w:after="480" w:line="288" w:lineRule="auto"/>
    </w:pPr>
    <w:rPr>
      <w:rFonts w:ascii="Arial" w:eastAsia="等线" w:hAnsi="Arial" w:cs="Arial"/>
      <w:b/>
      <w:bCs/>
      <w:sz w:val="52"/>
      <w:szCs w:val="52"/>
    </w:rPr>
  </w:style>
  <w:style w:type="character" w:styleId="a8">
    <w:name w:val="Strong"/>
    <w:basedOn w:val="a0"/>
    <w:qFormat/>
    <w:rPr>
      <w:b/>
    </w:rPr>
  </w:style>
  <w:style w:type="character" w:styleId="a9">
    <w:name w:val="Hyperlink"/>
    <w:uiPriority w:val="99"/>
    <w:unhideWhenUsed/>
    <w:qFormat/>
    <w:rPr>
      <w:color w:val="0563C1"/>
      <w:u w:val="single"/>
    </w:rPr>
  </w:style>
  <w:style w:type="character" w:styleId="aa">
    <w:name w:val="footnote reference"/>
    <w:uiPriority w:val="99"/>
    <w:semiHidden/>
    <w:unhideWhenUsed/>
    <w:qFormat/>
    <w:rPr>
      <w:vertAlign w:val="superscript"/>
    </w:rPr>
  </w:style>
  <w:style w:type="character" w:customStyle="1" w:styleId="2Char">
    <w:name w:val="标题 2 Char"/>
    <w:basedOn w:val="a0"/>
    <w:link w:val="2"/>
    <w:qFormat/>
    <w:rPr>
      <w:rFonts w:ascii="Arial" w:eastAsia="等线" w:hAnsi="Arial" w:cs="Arial"/>
      <w:b/>
      <w:bCs/>
      <w:sz w:val="32"/>
      <w:szCs w:val="32"/>
    </w:rPr>
  </w:style>
  <w:style w:type="paragraph" w:styleId="ab">
    <w:name w:val="List Paragraph"/>
    <w:qFormat/>
    <w:rPr>
      <w:rFonts w:asciiTheme="minorHAnsi" w:eastAsiaTheme="minorEastAsia" w:hAnsiTheme="minorHAnsi" w:cstheme="minorBidi"/>
      <w:sz w:val="21"/>
      <w:szCs w:val="22"/>
    </w:rPr>
  </w:style>
  <w:style w:type="character" w:customStyle="1" w:styleId="Char">
    <w:name w:val="脚注文本 Char"/>
    <w:link w:val="a5"/>
    <w:uiPriority w:val="99"/>
    <w:semiHidden/>
    <w:unhideWhenUsed/>
    <w:qFormat/>
    <w:rPr>
      <w:sz w:val="20"/>
      <w:szCs w:val="20"/>
    </w:rPr>
  </w:style>
  <w:style w:type="paragraph" w:customStyle="1" w:styleId="Style13">
    <w:name w:val="_Style 13"/>
    <w:qFormat/>
    <w:pPr>
      <w:spacing w:before="120" w:after="120" w:line="288" w:lineRule="auto"/>
    </w:pPr>
    <w:rPr>
      <w:rFonts w:ascii="Arial" w:eastAsia="等线" w:hAnsi="Arial" w:cs="Arial"/>
      <w:sz w:val="22"/>
      <w:szCs w:val="22"/>
    </w:rPr>
  </w:style>
  <w:style w:type="paragraph" w:customStyle="1" w:styleId="Style14">
    <w:name w:val="_Style 14"/>
    <w:qFormat/>
    <w:pPr>
      <w:spacing w:before="120" w:after="120" w:line="288" w:lineRule="auto"/>
    </w:pPr>
    <w:rPr>
      <w:rFonts w:ascii="Arial" w:eastAsia="等线" w:hAnsi="Arial" w:cs="Arial"/>
      <w:color w:val="8F959E"/>
      <w:sz w:val="22"/>
      <w:szCs w:val="22"/>
    </w:rPr>
  </w:style>
  <w:style w:type="paragraph" w:customStyle="1" w:styleId="ac">
    <w:name w:val="表格文字"/>
    <w:basedOn w:val="a"/>
    <w:qFormat/>
    <w:pPr>
      <w:autoSpaceDE w:val="0"/>
      <w:autoSpaceDN w:val="0"/>
      <w:adjustRightInd w:val="0"/>
      <w:spacing w:line="579" w:lineRule="exact"/>
      <w:jc w:val="center"/>
    </w:pPr>
    <w:rPr>
      <w:rFonts w:eastAsia="方正仿宋_GBK" w:hint="eastAsia"/>
      <w:lang w:val="zh-CN"/>
    </w:rPr>
  </w:style>
  <w:style w:type="paragraph" w:customStyle="1" w:styleId="msolistparagraph0">
    <w:name w:val="msolistparagraph"/>
    <w:basedOn w:val="a"/>
    <w:qFormat/>
    <w:pPr>
      <w:ind w:left="720"/>
      <w:contextualSpacing/>
    </w:pPr>
    <w:rPr>
      <w:rFonts w:ascii="等线" w:eastAsia="等线" w:hAnsi="等线" w:cs="Times New Roman" w:hint="eastAsia"/>
      <w:kern w:val="2"/>
    </w:rPr>
  </w:style>
  <w:style w:type="paragraph" w:styleId="ad">
    <w:name w:val="Balloon Text"/>
    <w:basedOn w:val="a"/>
    <w:link w:val="Char0"/>
    <w:rPr>
      <w:sz w:val="18"/>
      <w:szCs w:val="18"/>
    </w:rPr>
  </w:style>
  <w:style w:type="character" w:customStyle="1" w:styleId="Char0">
    <w:name w:val="批注框文本 Char"/>
    <w:basedOn w:val="a0"/>
    <w:link w:val="ad"/>
    <w:rPr>
      <w:rFonts w:asciiTheme="minorHAnsi" w:eastAsiaTheme="minorEastAsia" w:hAnsiTheme="minorHAnsi" w:cstheme="min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semiHidden="1" w:uiPriority="99" w:unhideWhenUsed="1" w:qFormat="1"/>
    <w:lsdException w:name="header" w:qFormat="1"/>
    <w:lsdException w:name="footer" w:qFormat="1"/>
    <w:lsdException w:name="caption" w:semiHidden="1" w:unhideWhenUsed="1" w:qFormat="1"/>
    <w:lsdException w:name="footnote reference" w:semiHidden="1" w:uiPriority="99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sz w:val="21"/>
      <w:szCs w:val="22"/>
    </w:rPr>
  </w:style>
  <w:style w:type="paragraph" w:styleId="1">
    <w:name w:val="heading 1"/>
    <w:next w:val="a"/>
    <w:qFormat/>
    <w:pPr>
      <w:spacing w:before="380" w:after="140" w:line="288" w:lineRule="auto"/>
      <w:outlineLvl w:val="0"/>
    </w:pPr>
    <w:rPr>
      <w:rFonts w:ascii="Arial" w:eastAsia="等线" w:hAnsi="Arial" w:cs="Arial"/>
      <w:b/>
      <w:bCs/>
      <w:sz w:val="36"/>
      <w:szCs w:val="36"/>
    </w:rPr>
  </w:style>
  <w:style w:type="paragraph" w:styleId="2">
    <w:name w:val="heading 2"/>
    <w:next w:val="a"/>
    <w:link w:val="2Char"/>
    <w:qFormat/>
    <w:pPr>
      <w:spacing w:before="320" w:after="120" w:line="288" w:lineRule="auto"/>
      <w:outlineLvl w:val="1"/>
    </w:pPr>
    <w:rPr>
      <w:rFonts w:ascii="Arial" w:eastAsia="等线" w:hAnsi="Arial" w:cs="Arial"/>
      <w:b/>
      <w:bCs/>
      <w:sz w:val="32"/>
      <w:szCs w:val="32"/>
    </w:rPr>
  </w:style>
  <w:style w:type="paragraph" w:styleId="3">
    <w:name w:val="heading 3"/>
    <w:next w:val="a"/>
    <w:qFormat/>
    <w:pPr>
      <w:spacing w:before="300" w:after="120" w:line="288" w:lineRule="auto"/>
      <w:outlineLvl w:val="2"/>
    </w:pPr>
    <w:rPr>
      <w:rFonts w:ascii="Arial" w:eastAsia="等线" w:hAnsi="Arial" w:cs="Arial"/>
      <w:b/>
      <w:bCs/>
      <w:sz w:val="30"/>
      <w:szCs w:val="30"/>
    </w:rPr>
  </w:style>
  <w:style w:type="paragraph" w:styleId="4">
    <w:name w:val="heading 4"/>
    <w:next w:val="a"/>
    <w:qFormat/>
    <w:pPr>
      <w:spacing w:before="260" w:after="120" w:line="288" w:lineRule="auto"/>
      <w:outlineLvl w:val="3"/>
    </w:pPr>
    <w:rPr>
      <w:rFonts w:ascii="Arial" w:eastAsia="等线" w:hAnsi="Arial" w:cs="Arial"/>
      <w:b/>
      <w:bCs/>
      <w:sz w:val="28"/>
      <w:szCs w:val="28"/>
    </w:rPr>
  </w:style>
  <w:style w:type="paragraph" w:styleId="5">
    <w:name w:val="heading 5"/>
    <w:next w:val="a"/>
    <w:qFormat/>
    <w:pPr>
      <w:spacing w:before="240" w:after="120" w:line="288" w:lineRule="auto"/>
      <w:outlineLvl w:val="4"/>
    </w:pPr>
    <w:rPr>
      <w:rFonts w:ascii="Arial" w:eastAsia="等线" w:hAnsi="Arial" w:cs="Arial"/>
      <w:b/>
      <w:bCs/>
      <w:sz w:val="24"/>
      <w:szCs w:val="24"/>
    </w:rPr>
  </w:style>
  <w:style w:type="paragraph" w:styleId="6">
    <w:name w:val="heading 6"/>
    <w:next w:val="a"/>
    <w:qFormat/>
    <w:pPr>
      <w:spacing w:before="240" w:after="120" w:line="288" w:lineRule="auto"/>
      <w:outlineLvl w:val="5"/>
    </w:pPr>
    <w:rPr>
      <w:rFonts w:ascii="Arial" w:eastAsia="等线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note text"/>
    <w:link w:val="Char"/>
    <w:uiPriority w:val="99"/>
    <w:semiHidden/>
    <w:unhideWhenUsed/>
    <w:qFormat/>
    <w:rPr>
      <w:rFonts w:asciiTheme="minorHAnsi" w:eastAsiaTheme="minorEastAsia" w:hAnsiTheme="minorHAnsi" w:cstheme="minorBidi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sz w:val="24"/>
    </w:rPr>
  </w:style>
  <w:style w:type="paragraph" w:styleId="a7">
    <w:name w:val="Title"/>
    <w:qFormat/>
    <w:pPr>
      <w:spacing w:before="480" w:after="480" w:line="288" w:lineRule="auto"/>
    </w:pPr>
    <w:rPr>
      <w:rFonts w:ascii="Arial" w:eastAsia="等线" w:hAnsi="Arial" w:cs="Arial"/>
      <w:b/>
      <w:bCs/>
      <w:sz w:val="52"/>
      <w:szCs w:val="52"/>
    </w:rPr>
  </w:style>
  <w:style w:type="character" w:styleId="a8">
    <w:name w:val="Strong"/>
    <w:basedOn w:val="a0"/>
    <w:qFormat/>
    <w:rPr>
      <w:b/>
    </w:rPr>
  </w:style>
  <w:style w:type="character" w:styleId="a9">
    <w:name w:val="Hyperlink"/>
    <w:uiPriority w:val="99"/>
    <w:unhideWhenUsed/>
    <w:qFormat/>
    <w:rPr>
      <w:color w:val="0563C1"/>
      <w:u w:val="single"/>
    </w:rPr>
  </w:style>
  <w:style w:type="character" w:styleId="aa">
    <w:name w:val="footnote reference"/>
    <w:uiPriority w:val="99"/>
    <w:semiHidden/>
    <w:unhideWhenUsed/>
    <w:qFormat/>
    <w:rPr>
      <w:vertAlign w:val="superscript"/>
    </w:rPr>
  </w:style>
  <w:style w:type="character" w:customStyle="1" w:styleId="2Char">
    <w:name w:val="标题 2 Char"/>
    <w:basedOn w:val="a0"/>
    <w:link w:val="2"/>
    <w:qFormat/>
    <w:rPr>
      <w:rFonts w:ascii="Arial" w:eastAsia="等线" w:hAnsi="Arial" w:cs="Arial"/>
      <w:b/>
      <w:bCs/>
      <w:sz w:val="32"/>
      <w:szCs w:val="32"/>
    </w:rPr>
  </w:style>
  <w:style w:type="paragraph" w:styleId="ab">
    <w:name w:val="List Paragraph"/>
    <w:qFormat/>
    <w:rPr>
      <w:rFonts w:asciiTheme="minorHAnsi" w:eastAsiaTheme="minorEastAsia" w:hAnsiTheme="minorHAnsi" w:cstheme="minorBidi"/>
      <w:sz w:val="21"/>
      <w:szCs w:val="22"/>
    </w:rPr>
  </w:style>
  <w:style w:type="character" w:customStyle="1" w:styleId="Char">
    <w:name w:val="脚注文本 Char"/>
    <w:link w:val="a5"/>
    <w:uiPriority w:val="99"/>
    <w:semiHidden/>
    <w:unhideWhenUsed/>
    <w:qFormat/>
    <w:rPr>
      <w:sz w:val="20"/>
      <w:szCs w:val="20"/>
    </w:rPr>
  </w:style>
  <w:style w:type="paragraph" w:customStyle="1" w:styleId="Style13">
    <w:name w:val="_Style 13"/>
    <w:qFormat/>
    <w:pPr>
      <w:spacing w:before="120" w:after="120" w:line="288" w:lineRule="auto"/>
    </w:pPr>
    <w:rPr>
      <w:rFonts w:ascii="Arial" w:eastAsia="等线" w:hAnsi="Arial" w:cs="Arial"/>
      <w:sz w:val="22"/>
      <w:szCs w:val="22"/>
    </w:rPr>
  </w:style>
  <w:style w:type="paragraph" w:customStyle="1" w:styleId="Style14">
    <w:name w:val="_Style 14"/>
    <w:qFormat/>
    <w:pPr>
      <w:spacing w:before="120" w:after="120" w:line="288" w:lineRule="auto"/>
    </w:pPr>
    <w:rPr>
      <w:rFonts w:ascii="Arial" w:eastAsia="等线" w:hAnsi="Arial" w:cs="Arial"/>
      <w:color w:val="8F959E"/>
      <w:sz w:val="22"/>
      <w:szCs w:val="22"/>
    </w:rPr>
  </w:style>
  <w:style w:type="paragraph" w:customStyle="1" w:styleId="ac">
    <w:name w:val="表格文字"/>
    <w:basedOn w:val="a"/>
    <w:qFormat/>
    <w:pPr>
      <w:autoSpaceDE w:val="0"/>
      <w:autoSpaceDN w:val="0"/>
      <w:adjustRightInd w:val="0"/>
      <w:spacing w:line="579" w:lineRule="exact"/>
      <w:jc w:val="center"/>
    </w:pPr>
    <w:rPr>
      <w:rFonts w:eastAsia="方正仿宋_GBK" w:hint="eastAsia"/>
      <w:lang w:val="zh-CN"/>
    </w:rPr>
  </w:style>
  <w:style w:type="paragraph" w:customStyle="1" w:styleId="msolistparagraph0">
    <w:name w:val="msolistparagraph"/>
    <w:basedOn w:val="a"/>
    <w:qFormat/>
    <w:pPr>
      <w:ind w:left="720"/>
      <w:contextualSpacing/>
    </w:pPr>
    <w:rPr>
      <w:rFonts w:ascii="等线" w:eastAsia="等线" w:hAnsi="等线" w:cs="Times New Roman" w:hint="eastAsia"/>
      <w:kern w:val="2"/>
    </w:rPr>
  </w:style>
  <w:style w:type="paragraph" w:styleId="ad">
    <w:name w:val="Balloon Text"/>
    <w:basedOn w:val="a"/>
    <w:link w:val="Char0"/>
    <w:rPr>
      <w:sz w:val="18"/>
      <w:szCs w:val="18"/>
    </w:rPr>
  </w:style>
  <w:style w:type="character" w:customStyle="1" w:styleId="Char0">
    <w:name w:val="批注框文本 Char"/>
    <w:basedOn w:val="a0"/>
    <w:link w:val="ad"/>
    <w:rPr>
      <w:rFonts w:asciiTheme="minorHAnsi" w:eastAsiaTheme="minorEastAsia" w:hAnsiTheme="minorHAnsi" w:cstheme="min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header" Target="header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47</Pages>
  <Words>1426</Words>
  <Characters>8132</Characters>
  <Application>Microsoft Office Word</Application>
  <DocSecurity>0</DocSecurity>
  <Lines>67</Lines>
  <Paragraphs>19</Paragraphs>
  <ScaleCrop>false</ScaleCrop>
  <Company/>
  <LinksUpToDate>false</LinksUpToDate>
  <CharactersWithSpaces>9539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GLF</cp:lastModifiedBy>
  <cp:revision>2</cp:revision>
  <dcterms:created xsi:type="dcterms:W3CDTF">2025-09-11T10:39:00Z</dcterms:created>
  <dcterms:modified xsi:type="dcterms:W3CDTF">2026-04-16T01:16:00Z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eyJoZGlkIjoiNTU3M2JiODZiZTAwOWVhYzcyOGVjMTQ0OGMyZjU0NGYiLCJ1c2VySWQiOiIyNDA2MTg4NzUifQ==</vt:lpwstr>
  </property>
  <property fmtid="{D5CDD505-2E9C-101B-9397-08002B2CF9AE}" pid="3" name="KSOProductBuildVer">
    <vt:lpwstr>2052-12.1.0.25225</vt:lpwstr>
  </property>
  <property fmtid="{D5CDD505-2E9C-101B-9397-08002B2CF9AE}" pid="4" name="ICV">
    <vt:lpwstr>9E13A8FC627DE63EE081C2682CD5A588_43</vt:lpwstr>
  </property>
</Properties>
</file>